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1"/>
          <w:iCs w:val="1"/>
          <w:smallCaps w:val="0"/>
          <w:strike w:val="0"/>
          <w:color w:val="404040"/>
          <w:sz w:val="20"/>
          <w:szCs w:val="20"/>
          <w:u w:val="none"/>
          <w:shd w:fill="auto" w:val="clear"/>
          <w:vertAlign w:val="baseline"/>
        </w:rPr>
      </w:pPr>
      <w:r w:rsidDel="00000000" w:rsidR="00000000" w:rsidRPr="00000000">
        <w:rPr>
          <w:rtl w:val="0"/>
        </w:rPr>
      </w:r>
    </w:p>
    <w:tbl>
      <w:tblPr>
        <w:tblStyle w:val="Table1"/>
        <w:tblW w:w="13730.0" w:type="dxa"/>
        <w:jc w:val="left"/>
        <w:tblInd w:w="-324.00000000000006" w:type="dxa"/>
        <w:tblLayout w:type="fixed"/>
        <w:tblLook w:val="0000"/>
      </w:tblPr>
      <w:tblGrid>
        <w:gridCol w:w="13730"/>
        <w:tblGridChange w:id="0">
          <w:tblGrid>
            <w:gridCol w:w="13730"/>
          </w:tblGrid>
        </w:tblGridChange>
      </w:tblGrid>
      <w:tr>
        <w:trPr>
          <w:cantSplit w:val="1"/>
          <w:trHeight w:val="6546"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Comic Sans MS" w:cs="Comic Sans MS" w:eastAsia="Comic Sans MS" w:hAnsi="Comic Sans MS"/>
                <w:b w:val="1"/>
                <w:bCs w:val="1"/>
                <w:i w:val="0"/>
                <w:iCs w:val="0"/>
                <w:smallCaps w:val="0"/>
                <w:strike w:val="0"/>
                <w:color w:val="000000"/>
                <w:sz w:val="56"/>
                <w:szCs w:val="56"/>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AGEVOLAZIONI</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IPT DELIBERATE DALLE AMMINISTRAZIONI PROVINCIALI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4" w:right="0" w:hanging="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SCHEDA DI SINTESI INFORMAZIONI PER LA GESTIONE IPT</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56"/>
                <w:szCs w:val="56"/>
                <w:u w:val="none"/>
                <w:shd w:fill="auto" w:val="clear"/>
                <w:vertAlign w:val="baseline"/>
                <w:rtl w:val="0"/>
              </w:rPr>
              <w:t xml:space="preserve">AGGIORNAMENTO n.2</w:t>
            </w:r>
            <w:r w:rsidDel="00000000" w:rsidR="00000000" w:rsidRPr="00000000">
              <w:rPr>
                <w:rFonts w:ascii="Comic Sans MS" w:cs="Comic Sans MS" w:eastAsia="Comic Sans MS" w:hAnsi="Comic Sans MS"/>
                <w:b w:val="1"/>
                <w:bCs w:val="1"/>
                <w:sz w:val="56"/>
                <w:szCs w:val="56"/>
                <w:rtl w:val="0"/>
              </w:rPr>
              <w:t xml:space="preserve">70</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cura della Direzione Gestione e sviluppo del PRA</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headerReference r:id="rId7" w:type="first"/>
          <w:footerReference r:id="rId8" w:type="default"/>
          <w:footerReference r:id="rId9" w:type="first"/>
          <w:pgSz w:h="11906" w:w="16838" w:orient="landscape"/>
          <w:pgMar w:bottom="776" w:top="709" w:left="850" w:right="1417" w:header="720" w:footer="720"/>
          <w:pgNumType w:start="1"/>
          <w:titlePg w:val="1"/>
        </w:sect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fiscalità automobilistica e servizi agli Enti territoriali                                                                                                               </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   </w:t>
      </w:r>
      <w:r w:rsidDel="00000000" w:rsidR="00000000" w:rsidRPr="00000000">
        <w:rPr>
          <w:b w:val="1"/>
          <w:bCs w:val="1"/>
          <w:i w:val="1"/>
          <w:iCs w:val="1"/>
          <w:sz w:val="24"/>
          <w:szCs w:val="24"/>
          <w:highlight w:val="white"/>
          <w:rtl w:val="0"/>
        </w:rPr>
        <w:t xml:space="preserve">dicembre</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 2025</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 w:right="28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presente scheda di sintesi si propone di creare uno strumento che riassume tutte le informazioni utili per la gestione dell’Imposta Provinciale di Trascrizione.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primo luogo, si riporta in allegato un file excel che evidenzia, per ogni Provincia, le informazioni “base” e la presenza di eventuali “particolarità” deliberate dalle Amministrazioni Provinciali.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FORMALITA’ A FAVORE DEI PORTATORI DI HANDICAP: DOPPIA INTESTAZIONE E PERIODO DI  “TOLLERANZA”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Prima di entrare nel dettaglio delle agevolazioni introdotte dalle singole Province a favore dei soggetti diversamente abili, si ritiene opportuno inserire una precisazione di carattere generale.</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 tal proposito si richiama 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ancorché non trascritto al PRA, avente data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uguale o anteriore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alla data di presentazione della pratica di iscrizione/trascrizione del secondo veicolo.</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analogia, tale principio è applicato anche in caso di avvenuta consegna a un Centro di Raccolta autorizzato, comprovata tramite copia del Certificato di Rottamazione allegato al fascicolo.</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1"/>
          <w:iCs w:val="1"/>
          <w:smallCaps w:val="0"/>
          <w:strike w:val="0"/>
          <w:color w:val="000000"/>
          <w:sz w:val="24"/>
          <w:szCs w:val="24"/>
          <w:u w:val="singl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single"/>
          <w:shd w:fill="auto" w:val="clear"/>
          <w:vertAlign w:val="baseline"/>
          <w:rtl w:val="0"/>
        </w:rPr>
        <w:t xml:space="preserve">Periodo di tolleranza - data atto o data certificato di rottamazione</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hanno comunque deciso di introdurre dei tempi di “tolleranza”, riconoscendo le agevolazioni anche nel caso in cui il disabile risulti avere venduto o radiato (inteso come data formazione atto di vendita/Certificato di Rottamazione) il primo veicolo anche successivamente alla nuova intestazione, purché entro un determinato periodo di tempo (prevedendo anche termini diversi).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Poiché il PRA effettua il controllo e la riscossione dell'IPT alla presentazione delle formalità - quindi sulla base delle risultanze degli Archivi PRA in quel momento o sulla base della presenza della copia dell’atto di vendita o del Certificato di Rottamazione del primo veicolo all’interno del fascicolo, ai sensi della L.C. sopra richiamata - senza poter prevedere se verrà formato un atto o cancellato dal PRA un veicolo entro termini di tolleranza stabiliti dalla singola Provincia -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tali casistiche possono essere gestite unicamente con istanza di rimborso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single"/>
          <w:shd w:fill="auto" w:val="clear"/>
          <w:vertAlign w:val="baseline"/>
          <w:rtl w:val="0"/>
        </w:rPr>
        <w:t xml:space="preserve">Solo con riguardo alle Province che ammettono un termine di tolleranza con riferimento alla data dell’atto di vendita/certificato di rottamazione: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caso in cui al fascicolo venga allegato, in fase di richiesta integrazione, un atto di vendita o un Certificato di Rottamazione di data successiva a quella di presentazione della pratica di iscrizione/trascrizione del secondo veicolo, ma ricompresa nel termine di tolleranza ammesso, la pratica potrà essere convalidata senza necessità che lo STA integri gli importi per poi chiedere il rimborso.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single"/>
          <w:shd w:fill="auto" w:val="clear"/>
          <w:vertAlign w:val="baseline"/>
          <w:rtl w:val="0"/>
        </w:rPr>
        <w:t xml:space="preserve">Periodo di tolleranza - data di trascrizione vendita/annotazione radiazione del primo veicolo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Fermo restando quanto stabilito nel parere del MEF, alcune Province hanno deliberato un periodo di tolleranza della doppia intestazione di veicoli in capo al soggetto portatore di handicap condizionata alla data di trascrizione dell’atto di vendita/annotazione radiazione del primo veicolo.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scheda sinottica riassuntiva (All.2 delle comunicazioni IPT) è stata integrata con una nuova colonna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che riporta, per le singole Province, l’eventuale periodo di tolleranza, distinguendo tra: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il numero di giorni ammesso fra la data di iscrizione/trascrizione del secondo veicolo e la data di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 autentica dell’atto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di vendita o del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Certificato di Rottamazione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del primo veicolo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GG</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il numero di giorni ammesso fra la data di iscrizione/trascrizione del secondo veicolo e la data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trascrizione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atto di vendita/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annotazione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della radiazione del primo veicolo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GGT</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ff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dicitura “ufficio” indica invece la necessità di contattare l’ufficio PRA di competenza,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prima di dare esito all’istanza di rimborso.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L’assenza di valorizzazione indica che la Provincia non ammette un periodo di tolleranza.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1.1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A FAVORE DEI PORTATORI DI HANDICAP – VEICOLI OGGETTO DI FURTO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Como, Roma, Pistoia, 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Cosenza, Latina,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Salerno, Perugia, Prato,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Varese e Benevento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La Provincia di </w:t>
      </w:r>
      <w:r w:rsidDel="00000000" w:rsidR="00000000" w:rsidRPr="00000000">
        <w:rPr>
          <w:rFonts w:ascii="Comic Sans MS" w:cs="Comic Sans MS" w:eastAsia="Comic Sans MS" w:hAnsi="Comic Sans MS"/>
          <w:b w:val="1"/>
          <w:bCs w:val="1"/>
          <w:color w:val="ff0000"/>
          <w:sz w:val="24"/>
          <w:szCs w:val="24"/>
          <w:rtl w:val="0"/>
        </w:rPr>
        <w:t xml:space="preserve">Perugia </w:t>
      </w:r>
      <w:r w:rsidDel="00000000" w:rsidR="00000000" w:rsidRPr="00000000">
        <w:rPr>
          <w:rFonts w:ascii="Comic Sans MS" w:cs="Comic Sans MS" w:eastAsia="Comic Sans MS" w:hAnsi="Comic Sans MS"/>
          <w:color w:val="ff0000"/>
          <w:sz w:val="24"/>
          <w:szCs w:val="24"/>
          <w:rtl w:val="0"/>
        </w:rPr>
        <w:t xml:space="preserve">riconosce l’esenzione anche nel caso di perdita di possesso per appropriazione indebita del primo veicolo.</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Affinché l’esenzione possa essere riconosciuta, dovranno essere assolte le seguenti condizioni: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2.0000000000000284"/>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precedente annotazione al PRA della formalità di perdita di possesso con causale furto, </w:t>
      </w:r>
      <w:r w:rsidDel="00000000" w:rsidR="00000000" w:rsidRPr="00000000">
        <w:rPr>
          <w:rFonts w:ascii="Comic Sans MS" w:cs="Comic Sans MS" w:eastAsia="Comic Sans MS" w:hAnsi="Comic Sans MS"/>
          <w:color w:val="ff0000"/>
          <w:sz w:val="24"/>
          <w:szCs w:val="24"/>
          <w:rtl w:val="0"/>
        </w:rPr>
        <w:t xml:space="preserve">(</w:t>
      </w:r>
      <w:r w:rsidDel="00000000" w:rsidR="00000000" w:rsidRPr="00000000">
        <w:rPr>
          <w:rFonts w:ascii="Comic Sans MS" w:cs="Comic Sans MS" w:eastAsia="Comic Sans MS" w:hAnsi="Comic Sans MS"/>
          <w:i w:val="0"/>
          <w:iCs w:val="0"/>
          <w:smallCaps w:val="0"/>
          <w:strike w:val="0"/>
          <w:color w:val="ff0000"/>
          <w:sz w:val="24"/>
          <w:szCs w:val="24"/>
          <w:u w:val="none"/>
          <w:shd w:fill="auto" w:val="clear"/>
          <w:vertAlign w:val="baseline"/>
          <w:rtl w:val="0"/>
        </w:rPr>
        <w:t xml:space="preserve">Perugia anche </w:t>
      </w:r>
      <w:r w:rsidDel="00000000" w:rsidR="00000000" w:rsidRPr="00000000">
        <w:rPr>
          <w:rFonts w:ascii="Comic Sans MS" w:cs="Comic Sans MS" w:eastAsia="Comic Sans MS" w:hAnsi="Comic Sans MS"/>
          <w:color w:val="ff0000"/>
          <w:sz w:val="24"/>
          <w:szCs w:val="24"/>
          <w:rtl w:val="0"/>
        </w:rPr>
        <w:t xml:space="preserve">con causale appropriazione indebita)</w:t>
      </w:r>
      <w:r w:rsidDel="00000000" w:rsidR="00000000" w:rsidRPr="00000000">
        <w:rPr>
          <w:rFonts w:ascii="Comic Sans MS" w:cs="Comic Sans MS" w:eastAsia="Comic Sans MS" w:hAnsi="Comic Sans MS"/>
          <w:b w:val="1"/>
          <w:bCs w:val="1"/>
          <w:sz w:val="24"/>
          <w:szCs w:val="24"/>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chiaramente senza una successiva annotazione del rientro in possesso;</w:t>
      </w:r>
    </w:p>
    <w:p w:rsidR="00000000" w:rsidDel="00000000" w:rsidP="00000000" w:rsidRDefault="00000000" w:rsidRPr="00000000" w14:paraId="0000004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2.0000000000000284"/>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dichiarazione che al momento della richiesta di trascrizione in esenzione per il nuovo veicolo non sia stato rinvenuto e/o restituito quello oggetto di furto (per tale dichiarazione sostitutiva utilizzare il modello di DS con testo libero).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1" w:right="284" w:hanging="3"/>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Como, Perugia, Pistoia, Salerno</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1"/>
          <w:bCs w:val="1"/>
          <w:sz w:val="24"/>
          <w:szCs w:val="24"/>
          <w:highlight w:val="white"/>
          <w:rtl w:val="0"/>
        </w:rPr>
        <w:t xml:space="preserve">Sassari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Varese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precisano che 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 Reggio Calabria e Cuneo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rsidR="00000000" w:rsidDel="00000000" w:rsidP="00000000" w:rsidRDefault="00000000" w:rsidRPr="00000000" w14:paraId="0000004A">
      <w:pPr>
        <w:keepNext w:val="0"/>
        <w:keepLines w:val="0"/>
        <w:pageBreakBefore w:val="0"/>
        <w:widowControl w:val="1"/>
        <w:numPr>
          <w:ilvl w:val="1"/>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del certificato di assicurazione contro il furto relativo al veicolo rubato;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documentazione che comprovi l’avvenuta liquidazione del risarcimento previsto in caso di furto del veicolo da parte della Compagnia assicurativa;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28" w:right="395" w:hanging="2.0000000000000284"/>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Cremona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stabilito che per usufruire nuovamente delle agevolazioni, il soggetto disabile dovrà esibire al PRA la denuncia in originale presentata alle autorità competenti.</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Lecce, Pescara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Barletta-Andria-Trani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furto o appropriazione indebita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Lecco, Lodi, Pavia</w:t>
      </w:r>
      <w:r w:rsidDel="00000000" w:rsidR="00000000" w:rsidRPr="00000000">
        <w:rPr>
          <w:rFonts w:ascii="Comic Sans MS" w:cs="Comic Sans MS" w:eastAsia="Comic Sans MS" w:hAnsi="Comic Sans MS"/>
          <w:b w:val="1"/>
          <w:bCs w:val="1"/>
          <w:sz w:val="24"/>
          <w:szCs w:val="24"/>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Savona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Foggia</w:t>
      </w:r>
      <w:r w:rsidDel="00000000" w:rsidR="00000000" w:rsidRPr="00000000">
        <w:rPr>
          <w:rFonts w:ascii="Comic Sans MS" w:cs="Comic Sans MS" w:eastAsia="Comic Sans MS" w:hAnsi="Comic Sans MS"/>
          <w:b w:val="1"/>
          <w:bCs w:val="1"/>
          <w:sz w:val="24"/>
          <w:szCs w:val="24"/>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Ragusa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sz w:val="24"/>
          <w:szCs w:val="24"/>
          <w:rtl w:val="0"/>
        </w:rPr>
        <w:t xml:space="preserve">e </w:t>
      </w:r>
      <w:r w:rsidDel="00000000" w:rsidR="00000000" w:rsidRPr="00000000">
        <w:rPr>
          <w:rFonts w:ascii="Comic Sans MS" w:cs="Comic Sans MS" w:eastAsia="Comic Sans MS" w:hAnsi="Comic Sans MS"/>
          <w:b w:val="1"/>
          <w:bCs w:val="1"/>
          <w:color w:val="ff0000"/>
          <w:sz w:val="24"/>
          <w:szCs w:val="24"/>
          <w:rtl w:val="0"/>
        </w:rPr>
        <w:t xml:space="preserve">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Rimini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in caso di furto o appropriazione indebita di veicolo intestato a soggetto disabile o a soggetto di cui il disabile risulti fiscalmente a carico, può essere riconosciuta l’esenzione IPT per l’acquisto di un altro veicolo purché, alla data di presentazione di tale formalità, risulti già annotata al PRA la perdita di possesso del primo veicolo per le suddette causali.</w:t>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Rieti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Per usufruire nuovamente dei benefici devono ricorrere i seguenti presupposti :</w:t>
      </w:r>
    </w:p>
    <w:p w:rsidR="00000000" w:rsidDel="00000000" w:rsidP="00000000" w:rsidRDefault="00000000" w:rsidRPr="00000000" w14:paraId="00000061">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62">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presentazione di una dichiarazione che al momento della richiesta di trascrizione in esenzione per il nuovo veicolo non sia stato rinvenuto e/o restituito quello oggetto di furto (per tale dichiarazione sostitutiva utilizzare il modello di DS con testo libero);</w:t>
      </w:r>
    </w:p>
    <w:p w:rsidR="00000000" w:rsidDel="00000000" w:rsidP="00000000" w:rsidRDefault="00000000" w:rsidRPr="00000000" w14:paraId="0000006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copia del certificato di assicurazione contro il furto relativo al veicolo rubato.</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rinvenimento del veicolo oggetto di furto, con conseguente annotazione al PRA di rientro in possesso, si sarà tenuti a versare l’IPT relativa all’ulteriore veicolo acquistato.</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68"/>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1.2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A FAVORE DEI PORTATORI DI HANDICAP – PARTICOLARITA’</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una riduzione al 10% dell’IPT per le formalità  a favore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tutti i disabili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non inclusi nella normativa nazionale,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compresi, pertanto anche i c.d. disabili sensoriali</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bisogna inserire nel campo disabile il carattere “L” previsto dalle procedure telematiche).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l’applicazione dell’IPT fissa (senza maggiorazione)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ma comunque affetti da minorazione ai sensi dell’art.3 della L. 104/1992. (per il corretto calcolo degli importi selezionare “D” nel campo disabile).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 a far data dal 01.01.2014 - la riduzione al 25% della IPT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ma comunque affetti da minorazione ai sensi dell’art.3 della L. 104/1992.</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selezionare il flag “y” nel campo disabile – Tale flag non è attualmente gestito per le formalità di competenza Ogliastra, cui si applica il Regolamento IPT della Provincia di Nuoro).</w:t>
      </w:r>
      <w:r w:rsidDel="00000000" w:rsidR="00000000" w:rsidRPr="00000000">
        <w:rPr>
          <w:rFonts w:ascii="Comic Sans MS" w:cs="Comic Sans MS" w:eastAsia="Comic Sans MS" w:hAnsi="Comic Sans MS"/>
          <w:b w:val="0"/>
          <w:bCs w:val="0"/>
          <w:i w:val="0"/>
          <w:iCs w:val="0"/>
          <w:smallCaps w:val="0"/>
          <w:strike w:val="0"/>
          <w:color w:val="ff0000"/>
          <w:sz w:val="17"/>
          <w:szCs w:val="17"/>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Nuoro ha precisato che tali agevolazioni non sono cumulabili con quelle previste per i veicoli con alimentazione elettrica, esclusiva o doppia, o con alimentazione esclusiva a gas metano, a GPL, a idrogeno.</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 nonché, con decorrenza 01/01/2025, in favore di tutti i disabili in condizione di gravità ai sensi dell’art.3 comma 3 L.104/1992.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119" w:before="28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Isernia, Lodi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01/01/2022) e Messina (dal 01/01/2024)</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inoltre, 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119" w:before="28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l'esenzione IPT a favore di soggetti con ridotte o impedite capacità motorie permanenti è riconosciuta anche ai soggetti disabili con capacità di deambulazione impedita o sensibilmente ridotta (non in via temporanea) a cui una commissione medica abbia certificato il possesso dei requisiti per ottenere il contrassegno previsto dall’art.381, comma 2 e 3, del Regolamento di Esecuzione del Codice della Strada, in presenza congiunta delle seguenti ulteriori condizioni: a) portatore di handicap in situazione di gravità ai sensi dell’art.3, comma 3 L.104/92, legato alla difficoltà di deambulazione, b) il veicolo dotato di comandi speciali o adattamenti.</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Regione Autonoma Valle d’Aosta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è possibile concedere i benefici fiscali IRT a favore di soggetto disabile anche nelle more dell’accertamento d’Ufficio, da parte della Commissione medica, a fronte di clausola di rivedibilità con termine scaduto.</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Fermo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sono utilizzabili anche le attestazioni/certificazioni integrative rilasciate dalle Asur o dall’Inps.</w:t>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disposto che, in caso di esenzione o agevolazione per i soggetti portatori di handicap, nel solo caso in cui, il beneficiario della stessa, sia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titolare di patente speciale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sia altresì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intestatario del veicolo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copia semplice della patente posseduta, ove essa contenga l'indicazione di adattamenti, anche di serie, per il veicolo agevolabile da condurre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prescritti dalle commissioni mediche locali.</w:t>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1.3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IN FAVORE DI DISABILI “SENSORIALI”</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Emilia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decorrenza 01/01/2019): per entrambe le Province in parola le agevolazioni sono previste con riferimento ai soggetti non vedenti o sordomuti assoluti, così come individuati dall’art.1 c.2 della L. 68/1999 e dalla Circolare dell’Agenzia delle Entrate n. 72/2001.</w:t>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Altre Province, invece, hanno previsto agevolazioni a favore dei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disabili sensoriali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secondo il dettaglio riportato nella seguente tabella, nella quale è indicato anche il flag da inserire nel campo disabile per il corretto calcolo degli importi da parte delle procedure telematiche: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4610.0" w:type="dxa"/>
        <w:jc w:val="left"/>
        <w:tblInd w:w="-324.00000000000006" w:type="dxa"/>
        <w:tblLayout w:type="fixed"/>
        <w:tblLook w:val="0000"/>
      </w:tblPr>
      <w:tblGrid>
        <w:gridCol w:w="8955"/>
        <w:gridCol w:w="2190"/>
        <w:gridCol w:w="3465"/>
        <w:tblGridChange w:id="0">
          <w:tblGrid>
            <w:gridCol w:w="8955"/>
            <w:gridCol w:w="2190"/>
            <w:gridCol w:w="3465"/>
          </w:tblGrid>
        </w:tblGridChange>
      </w:tblGrid>
      <w:tr>
        <w:trPr>
          <w:cantSplit w:val="1"/>
          <w:tblHeader w:val="1"/>
        </w:trPr>
        <w:tc>
          <w:tcPr>
            <w:tcBorders>
              <w:top w:color="000000" w:space="0" w:sz="4" w:val="single"/>
              <w:left w:color="000000" w:space="0" w:sz="4" w:val="single"/>
              <w:bottom w:color="000000" w:space="0" w:sz="4" w:val="single"/>
            </w:tcBorders>
            <w:shd w:fill="ffff00" w:val="clear"/>
            <w:vAlign w:val="center"/>
          </w:tcPr>
          <w:p w:rsidR="00000000" w:rsidDel="00000000" w:rsidP="00000000" w:rsidRDefault="00000000" w:rsidRPr="00000000" w14:paraId="0000008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PROVINCE</w:t>
            </w:r>
          </w:p>
        </w:tc>
        <w:tc>
          <w:tcPr>
            <w:tcBorders>
              <w:top w:color="000000" w:space="0" w:sz="4" w:val="single"/>
              <w:left w:color="000000" w:space="0" w:sz="4" w:val="single"/>
              <w:bottom w:color="000000" w:space="0" w:sz="4" w:val="single"/>
            </w:tcBorders>
            <w:shd w:fill="ffff00" w:val="clear"/>
            <w:vAlign w:val="center"/>
          </w:tcPr>
          <w:p w:rsidR="00000000" w:rsidDel="00000000" w:rsidP="00000000" w:rsidRDefault="00000000" w:rsidRPr="00000000" w14:paraId="0000008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RIDUZIONI IPT</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8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FLAG PER IL CALCOLO DEGLI IMPORTI</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Asti, Bergamo, Brescia, Campobasso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Como, Chieti, Cremona, Lecco, Lodi, Massa Carrara, Milano, Monza Brianza, Novara, Nuoro, Padova, Pavia, Piacenza, Rieti, Rimini, Salerno, Savona,</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Siena, Varese, Verbano Cusio Ossola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Mantova,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Bari, Belluno, La Spezia, Parma, Perugia, Terni, Teramo,</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Trapani</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Friuli Venezia Giulia,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Genova, Grosseto, Imperia, Messina,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Pisa, Potenza, Reggio Calabria</w:t>
            </w:r>
            <w:r w:rsidDel="00000000" w:rsidR="00000000" w:rsidRPr="00000000">
              <w:rPr>
                <w:rFonts w:ascii="Arial" w:cs="Arial" w:eastAsia="Arial" w:hAnsi="Arial"/>
                <w:b w:val="1"/>
                <w:bCs w:val="1"/>
                <w:i w:val="0"/>
                <w:iCs w:val="0"/>
                <w:smallCaps w:val="0"/>
                <w:strike w:val="0"/>
                <w:color w:val="ff3333"/>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3333"/>
                <w:sz w:val="20"/>
                <w:szCs w:val="20"/>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Rovigo, Sondrio,</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Verona, Vicenza,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Forlì Cesena, Pescara, Treviso,</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Ravenna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Ancona, Aosta, Catania,</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Cuneo, Fermo, Frosinone, Latina, Macerata, Pesaro Urbino, Pistoia, Siracusa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Foggia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Riduzione al 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Arezzo, B</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enevento, Bolzano, Prato, Sassari, Trento.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esenzione totale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 le Province contrassegnate con * le procedure per il calcolo degli importi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sono ancora state rilasciate)</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Fa eccezione a tale principio l’agevolazione stabilita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invece previsto che la riduzione dell’IPT debba essere calcolata sulla cd Tariffa Base stabilita con DM 435/98 (quindi senza la maggiorazione) e la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hanno stabilito la riduzione al 50%, che va calcolata sull’IPT in misura fissa. Per il corretto calcolo degli importi delle formalità di competenza Cagliari e Sud Sardegna selezionare il flag “C” del campo disabile.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tale agevolazione prevista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è cumulabile con le altre agevolazioni, previste dalla stessa Provincia (es .: successione ereditaria).</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e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indicate in tabella hanno individuato i soggetti che possono usufruire delle agevolazioni come segue: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Asti, Belluno, Bolzano, Cagliari, 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Como,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 Cuneo, Fermo, Foggia, Forlì-Cesena, Frosinone, Genova,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Grosseto, Imperia, La Spezia, Latina, Lecco, Lodi, Milano, Monza Brianza, Messina, Novara, Padova, Parma,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Pavia, Perugia, Pesaro Urbino, Pescara, Pisa, Pistoia, Potenza, Prato, Ravenna, Reggio Calabria, Reggio Emilia, Rieti, Rimini, Salerno, Sassari, Siena, Siracusa, Sud Sardegna, Terni, Teramo, Trento, Varese, Verbano Cusio Ossola, Trapani, Treviso, Verona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riconoscono le agevolazioni ai soggetti rientranti nei casi previsti dall’art.1 comma 2 della L.68/1999 e dalla circolare n.72 del 30/7/2001 dell’Agenzia delle Entrate, Direzione Centrale Normativa e Contenzioso;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possono godere dell’agevolazione in parola anche i soggetti affetti da sordità, come definiti dall’articolo 1, comma 2 della legge 26 maggio 1970, n. 381; si evidenzia, inoltre, 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Foggia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nel caso in cui il disabile sensoriale risulti titolare di redditi propri superiori al limite vigente per essere considerati “familiari fiscalmente a carico” ( vedasi DPR n.917 del 22 dicembre 1986), il veicolo deve essere obbligatoriamente intestato al disabile stesso, anche se sprovvisto di permesso di guida.</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e Macerata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pur richiedendo l’indennità di accompagnamento, ricomprendono nel beneficio anche l’indennità speciale prevista per i ciechi con residuo inferiore a 1/20 e l’indennità di comunicazione prevista per i sordomuti (rispettivamente, artt. 3 e 4 della L.508/1998);</w:t>
      </w:r>
    </w:p>
    <w:p w:rsidR="00000000" w:rsidDel="00000000" w:rsidP="00000000" w:rsidRDefault="00000000" w:rsidRPr="00000000" w14:paraId="000000B4">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 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riconoscono l’agevolazione ai soggetti non vedenti o sordomuti assoluti, così come individuati dall’art.1 comma 2 della Legge n.68/1999 e dalla circolare n. 72 del 30/07/2001, purché sia stata concessa l’indennità di accompagnamento.</w:t>
      </w:r>
    </w:p>
    <w:p w:rsidR="00000000" w:rsidDel="00000000" w:rsidP="00000000" w:rsidRDefault="00000000" w:rsidRPr="00000000" w14:paraId="000000B5">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Mantova, Piacenza e Sondrio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riconoscono le agevolazioni a soggetti portatori di handicap sensoriale di gravità tale da avere determinato l’indennità di accompagnamento.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la gravità dell’handicap necessaria ai fini dell'applicazione dell'agevolazione in parola deve essere tale da aver determinato il riconoscimento, ai sensi di legge, di un’indennità economica, qualsivoglia denominata, purchè determinata dal suddetto handicap.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fermo restando il presupposto del riconoscimento dell’indennità di accompagnamento, sono da ricomprendersi nell’agevolazione i soggetti non vedenti o sordomuti assoluti, così come individuati dall’art.1 comma 2 della L. 68/99 e dalla Circolare dell’agenzia delle Entrate n.72 del 30/7/2001. </w:t>
      </w:r>
    </w:p>
    <w:p w:rsidR="00000000" w:rsidDel="00000000" w:rsidP="00000000" w:rsidRDefault="00000000" w:rsidRPr="00000000" w14:paraId="000000B6">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Infine si ritiene opportuno ricordare quali veicoli a motore possono essere oggetto degli atti di natura traslativa o dichiarativa per la cui trascrizione è possibile richiedere di usufruire delle suddette agevolazioni:</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 di potenza non superiore a 150 kW se con motore elettrico.</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Su quest’ultimo punto si differenzia dalle altre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concesso le agevolazioni solo per le autovetture, senza alcuna limitazione nel caso di atti soggetti ad IVA e fino a 100 KW nel caso di atti non soggetti ad IVA.</w:t>
      </w:r>
    </w:p>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84" w:hanging="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PREVISTE PER I TRASFERIMENTI DI PROPRIETA’ PER SUCCESSIONE EREDITARIA</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per questo tipo di formalità la corresponsione del 10% dell’IPT dovuta.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 la corretta imputazione dell’Ipt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Pistoia e Verona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01/01/2008),</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Aosta e Parma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01/01/2009)</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30/03/2009),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Forlì-Cesena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01.06.2012)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Messina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 dal 01.01.2016),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01.01.2014),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Ravenna, Reggio Calabria (a far data dal 03/06/2023)</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presentate dal 01.01.2015),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(01.01.2017)</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16.10.2017),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Pescara, Rieti (quest’ultima dal 01.01.2023),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L’Aquila, Rimini e Piacenza (dal 01.01.2025)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deliberato la riduzione dell’IPT nella misura del 90% per la trascrizione a favore di tutti gli eredi (flag A) e del 10%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dagli Sportelli degli Uffici periferici ACI.</w:t>
      </w:r>
    </w:p>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fissa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comprensiva della maggiorazione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tutti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casi di trasferimento d’azienda da genitore a figli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mortis causa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condizione che uno degli eredi prosegua l’esercizio dell’attività d’impresa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campo “data apertura successione” e selezionare il flag “P” presente nel campo “Agevolazione disabile”.</w:t>
      </w:r>
    </w:p>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 (a far data dal 01/01/2023),</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 Milano, Pavia, Perugia, Varese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01.01.2008),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7/12/2009),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01/01/2011),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01/01/2022),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20/02/2022)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02/10/2024) hanno deliberato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in misura fissa, comprensiva della maggiorazione deliberata dalla Provincia, in tutti i casi di trascrizione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acquisto di veicoli tra privati mortis</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causa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procedure applicative per il calcolo importi effettueranno – in modalità automatica - la corretta imputazione dell’IPT dovuta a fronte dell’impostazione del campo “data apertura successione” </w:t>
      </w:r>
    </w:p>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pagamento dell’IPT in misura fissa (comprensiva della percentuale di maggiorazione stabilita dalla Provincia) per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tutti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 trasferimenti di proprietà per successione ereditaria.</w:t>
      </w:r>
    </w:p>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campo “data apertura successione”.</w:t>
      </w:r>
    </w:p>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esclusivamente nel caso di pratiche di accettazione di eredità con contestuale rivendita ad uno degli eredi presentate come formalità consecutive, la Provincia ha previsto di applicare all’IPT in misura fissa anche la riduzione del  90% per la prima trascrizione e del 10% per la seconda trascrizione.</w:t>
      </w:r>
    </w:p>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procedere nel seguente modo: </w:t>
      </w:r>
    </w:p>
    <w:p w:rsidR="00000000" w:rsidDel="00000000" w:rsidP="00000000" w:rsidRDefault="00000000" w:rsidRPr="00000000" w14:paraId="000000D1">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53"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trasferimento di proprietà a favore di tutti gli eredi: valorizzare  il flag “A” del campo disabili;</w:t>
      </w:r>
    </w:p>
    <w:p w:rsidR="00000000" w:rsidDel="00000000" w:rsidP="00000000" w:rsidRDefault="00000000" w:rsidRPr="00000000" w14:paraId="000000D2">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53"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trasferimento di proprietà da tutti gli eredi all’unico erede che vuole intestarsi il veicolo: valorizzare il flag “E” del campo disabili.</w:t>
      </w:r>
    </w:p>
    <w:p w:rsidR="00000000" w:rsidDel="00000000" w:rsidP="00000000" w:rsidRDefault="00000000" w:rsidRPr="00000000" w14:paraId="000000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tale ulteriore riduzione non si applica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dell’IPT in misura fissa con percentuale di maggiorazione al 30%.</w:t>
      </w:r>
    </w:p>
    <w:p w:rsidR="00000000" w:rsidDel="00000000" w:rsidP="00000000" w:rsidRDefault="00000000" w:rsidRPr="00000000" w14:paraId="000000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 gennaio 2009 , anche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Pesaro-Urbino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per le formalità consecutive di acquisto mortis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corresponsione dell’IPT in misura fissa nei seguenti casi:</w:t>
      </w:r>
    </w:p>
    <w:p w:rsidR="00000000" w:rsidDel="00000000" w:rsidP="00000000" w:rsidRDefault="00000000" w:rsidRPr="00000000" w14:paraId="000000D9">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Trasferimenti di proprietà a titolo di successione ereditaria; per il corretto calcolo degli importi valorizzare il campo “data apertura successione”.</w:t>
      </w:r>
    </w:p>
    <w:p w:rsidR="00000000" w:rsidDel="00000000" w:rsidP="00000000" w:rsidRDefault="00000000" w:rsidRPr="00000000" w14:paraId="000000DA">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Trasferimenti di proprietà a favore di tutti gli eredi (flag I) con contestuale trasferimento a uno o più eredi (flag J), in relazione a ciascuna formalità trascritta o annotata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 presentate dal 01/01/2009:</w:t>
      </w:r>
    </w:p>
    <w:p w:rsidR="00000000" w:rsidDel="00000000" w:rsidP="00000000" w:rsidRDefault="00000000" w:rsidRPr="00000000" w14:paraId="000000DD">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rsidR="00000000" w:rsidDel="00000000" w:rsidP="00000000" w:rsidRDefault="00000000" w:rsidRPr="00000000" w14:paraId="000000DE">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50% (flag Z) a favore di tutti gli eredi e IPT proporzionale a favore di un soggetto terzo che vuole intestarsi il veicolo. Anche in questo caso per godere dell'agevolazione i due trasferimenti devono essere presentati contestualmente;</w:t>
      </w:r>
    </w:p>
    <w:p w:rsidR="00000000" w:rsidDel="00000000" w:rsidP="00000000" w:rsidRDefault="00000000" w:rsidRPr="00000000" w14:paraId="000000DF">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50% (flag Z) a fronte di trasferimento di proprietà per successione ereditaria a favore di tutti gli eredi</w:t>
      </w:r>
    </w:p>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rileva che il corretto utilizzo dei flag A e Z è demandato all’Operatore, in quanto non può essere controllato dall’applicazione SW. Si invita pertanto alla massima attenzione.</w:t>
      </w:r>
    </w:p>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 gennaio 2017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 gennaio 2019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28 ottobre 2021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Cosenza 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 gennaio 2025 quella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Prato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che, nel caso di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contestuale presentazione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di trasferimento di proprietà per successione ereditaria tra privati e della successiva rivendita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a uno degli eredi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l’IPT venga applicata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solo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w:t>
      </w:r>
    </w:p>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applicative di calcolo importi effettueranno in modalità automatica il calcolo a zero dell’IPT dovuta, a fronte dell’impostazione del campo “data apertura successione” e della valorizzazione del flag disabile “I” sulla trascrizione “ mortis causa”.</w:t>
      </w:r>
    </w:p>
    <w:p w:rsidR="00000000" w:rsidDel="00000000" w:rsidP="00000000" w:rsidRDefault="00000000" w:rsidRPr="00000000" w14:paraId="000000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29 dicembre 2011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data presentazione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mortis causa”.</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p>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Verbano Cusio Ossola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 seguenti agevolazioni dell’IPT a fronte di formalità di successione ereditaria:</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Applicazione dell’IPT fissa per l’accettazione di eredità da parte dell’unico erede, per il corretto calcolo degli importi valorizzare il campo “data apertura successione”;</w:t>
      </w:r>
    </w:p>
    <w:p w:rsidR="00000000" w:rsidDel="00000000" w:rsidP="00000000" w:rsidRDefault="00000000" w:rsidRPr="00000000" w14:paraId="000000E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1"/>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contestuale presentazione della accettazione di eredità a favore di tutti gli eredi e della trascrizione a favore dell’unico erede che intenda intestarsi il veicolo, l’IPT si applica solo sull’accettazione di eredità e in misura fissa; per il corretto calcolo degli importi valorizzare il campo “data apertura successione” sul primo passaggio e valorizzare il flag “I” del campo esenzione sul secondo passaggio;</w:t>
      </w:r>
    </w:p>
    <w:p w:rsidR="00000000" w:rsidDel="00000000" w:rsidP="00000000" w:rsidRDefault="00000000" w:rsidRPr="00000000" w14:paraId="000000E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Ove, invece, la presentazione non avvenga in modalità contestuale, si applicherà l’IPT fissa su entrambi i passaggi; in questi casi, per il corretto calcolo degli importi, deve essere valorizzato il campo “data apertura successione” nel trasferimento di proprietà a favore di tutti gli eredi ed il flag “V”, presente nel campo agevolazione disabile, per il successivo trasferimento di proprietà, non contestuale, a favore dell’unico erede.</w:t>
      </w:r>
    </w:p>
    <w:p w:rsidR="00000000" w:rsidDel="00000000" w:rsidP="00000000" w:rsidRDefault="00000000" w:rsidRPr="00000000" w14:paraId="000000E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accettazione di eredità con vendita ad un soggetto terzo, si applicherà l’IPT fissa solo per l’accettazione di eredità e l’IPT in misura proporzionale per il secondo passaggio; per il corretto calcolo degli importi dell’accettazione di eredità, valorizzare il campo “data apertura successione”.</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01/01/2013,</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w:t>
      </w:r>
    </w:p>
    <w:p w:rsidR="00000000" w:rsidDel="00000000" w:rsidP="00000000" w:rsidRDefault="00000000" w:rsidRPr="00000000" w14:paraId="000000F0">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consecutive di acquisto mortis causa tra privati e successiva rivendita a uno o più eredi sia dovuta – per entrambe- l’IPT ridotta del 75%.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 xml:space="preserve">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rsidR="00000000" w:rsidDel="00000000" w:rsidP="00000000" w:rsidRDefault="00000000" w:rsidRPr="00000000" w14:paraId="000000F2">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fronte di acquisto mortis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ha inoltre precisato che è possibile cumulare tale agevolazione con le altre agevolazioni previste dalla stessa Provincia. Ad esempio, nel caso di veicoli ecologici, prima si calcola l’IPT per intero applicando la maggiorazione ridotta prevista per i veicoli ecologici e su tale importo va calcolata la riduzione del 75% o del 50%.</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“J” nel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terzo,o di rinuncia con atto notarile dell’intera eredità da parte di tutti gli eredi tranne quello che intende intestarsi il veicolo. Tali controlli non sono effettuati da procedura ma sono a carico dell’operatore.</w:t>
      </w:r>
    </w:p>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deliberato di applicare la tariffa IPT di cui alla tabella allegata al DM.435/98 (quindi l’IPT senza percentuale di maggiorazione) per le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formalità relative ai casi di successioni ereditarie tra persone fisiche in relazione a ciascuna formalità trascritta (sia per la sola successione ereditaria che in caso di accettazione e vendita a favore di eredi per entrambe le formalità), purché siano entrambe di competenza della Città Metropolitana di Firenze e richieste contestualmente.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w:t>
      </w:r>
    </w:p>
    <w:p w:rsidR="00000000" w:rsidDel="00000000" w:rsidP="00000000" w:rsidRDefault="00000000" w:rsidRPr="00000000" w14:paraId="000000FA">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sola successione ereditaria è sufficiente valorizzare il campo  “data apertura successione”;</w:t>
      </w:r>
    </w:p>
    <w:p w:rsidR="00000000" w:rsidDel="00000000" w:rsidP="00000000" w:rsidRDefault="00000000" w:rsidRPr="00000000" w14:paraId="000000FB">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di accettazione e contestuale rivendita ad uno degli eredi, valorizzare nel campo disabile il flag “I” per la trascrizione a tutti gli eredi e il flag “J” per la trascrizione a favore dell’erede che vuole intestarsi il veicolo.</w:t>
      </w:r>
    </w:p>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le seguenti agevolazioni per le formalità di successione ereditaria, solo ed esclusivamente in caso di richiesta di due formalità consecutive:</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sulla trascrizione a favore dell’erede che vuole intestarsi il veicolo;</w:t>
      </w:r>
    </w:p>
    <w:p w:rsidR="00000000" w:rsidDel="00000000" w:rsidP="00000000" w:rsidRDefault="00000000" w:rsidRPr="00000000" w14:paraId="00000100">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riduzione IPT nella misura del 90% (flag “A”) a favore di tutti gli eredi e IPT proporzionale sulla trascrizione a favore di un soggetto terzo che vuole intestarsi il veicolo (quindi, sulla seconda formalità non è prevista alcuna agevolazione).</w:t>
      </w:r>
    </w:p>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ribadisce che per godere delle agevolazioni le formalità devono essere gestite in modalità consecutiva.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inoltre precisato che le formalità devono essere entrambe di competenza della Provincia. Non è prevista alcuna agevolazione in caso di mera accettazione di eredità.</w:t>
      </w:r>
    </w:p>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agevolazioni disabili); nel caso nel caso in cui il soggetto a favore abbia diritto a più agevolazioni, si applicherà quella a lui più vantaggiosa.</w:t>
      </w:r>
    </w:p>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cuius. Le procedure applicative di calcolo importi effettueranno in modalità automatica la corretta imputazione dell’IPT dovuta, a fronte dell’impostazione del campo “data apertura successione” e della valorizzazione del flag disabile “ J”.</w:t>
      </w:r>
    </w:p>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La Provincia di </w:t>
      </w:r>
      <w:r w:rsidDel="00000000" w:rsidR="00000000" w:rsidRPr="00000000">
        <w:rPr>
          <w:rFonts w:ascii="Comic Sans MS" w:cs="Comic Sans MS" w:eastAsia="Comic Sans MS" w:hAnsi="Comic Sans MS"/>
          <w:b w:val="1"/>
          <w:bCs w:val="1"/>
          <w:color w:val="ff0000"/>
          <w:sz w:val="24"/>
          <w:szCs w:val="24"/>
          <w:rtl w:val="0"/>
        </w:rPr>
        <w:t xml:space="preserve">Macerata</w:t>
      </w:r>
      <w:r w:rsidDel="00000000" w:rsidR="00000000" w:rsidRPr="00000000">
        <w:rPr>
          <w:rFonts w:ascii="Comic Sans MS" w:cs="Comic Sans MS" w:eastAsia="Comic Sans MS" w:hAnsi="Comic Sans MS"/>
          <w:color w:val="ff0000"/>
          <w:sz w:val="24"/>
          <w:szCs w:val="24"/>
          <w:rtl w:val="0"/>
        </w:rPr>
        <w:t xml:space="preserve"> ha stabilito che in caso di effettuazione di due formalità consecutive, la prima a favore di tutti gli eredi e la seconda a favore di uno degli eredi che intende intestarsi il veicolo, l’imposta sarà ridotta del 90% (flag “A”) per la trascrizione in favore di tutti gli eredi mentre per la seconda trascrizione in favore dell’erede che intenda intestarsi l’autoveicolo non è prevista alcuna agevolazione e l’IPT è dovuta per intero.</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In caso di accettazione dell’eredità senza successivo trasferimento e, quindi, di effettuazione di un’unica formalità, l’imposta è dovuta per intero. Per beneficiare dell’agevolazione, le formalità relative ai due trasferimenti di proprietà devono essere immediatamente conseguenti l’una all’altra e, in ogni caso, contestualmente presentate al P.R.A. unitamente alla documentazione probatoria del diritto all’agevolazione.</w:t>
      </w:r>
    </w:p>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816"/>
        </w:tabs>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545.0" w:type="dxa"/>
        <w:jc w:val="left"/>
        <w:tblInd w:w="-324.00000000000006" w:type="dxa"/>
        <w:tblLayout w:type="fixed"/>
        <w:tblLook w:val="0000"/>
      </w:tblPr>
      <w:tblGrid>
        <w:gridCol w:w="14545"/>
        <w:tblGridChange w:id="0">
          <w:tblGrid>
            <w:gridCol w:w="1454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precisa che per tutte le Province che prevedono agevolazioni </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consistenti nella </w:t>
            </w:r>
            <w:r w:rsidDel="00000000" w:rsidR="00000000" w:rsidRPr="00000000">
              <w:rPr>
                <w:rFonts w:ascii="Comic Sans MS" w:cs="Comic Sans MS" w:eastAsia="Comic Sans MS" w:hAnsi="Comic Sans MS"/>
                <w:color w:val="ff0000"/>
                <w:sz w:val="24"/>
                <w:szCs w:val="24"/>
                <w:rtl w:val="0"/>
              </w:rPr>
              <w:t xml:space="preserve">“suddivisione” di un solo importo IPT</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fronte di </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due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pratiche consecutive (accettazione di eredità + vendita a uno degli eredi o a soggetto terzo), le stesse potranno essere riconosciute a condizione che entrambe le pratiche siano di competenza della stessa Provincia interessata o, esclusivamente per le Province del Friuli Venezia Giulia, di Province della stessa Regione.</w:t>
            </w:r>
          </w:p>
          <w:p w:rsidR="00000000" w:rsidDel="00000000" w:rsidP="00000000" w:rsidRDefault="00000000" w:rsidRPr="00000000" w14:paraId="000001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VEICOLI ECO COMPATIBILI</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98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98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 Urbino, Potenza, Ravenna e</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confermato la maggiorazione del 20% rispetto alla tariffa base di cui al D.M.435/1998 per i veicoli elettrici, ibridi, alimentati a gas metano e GPL.</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Pavia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riduzione ad 1/2 dell’IPT per i veicoli a trazione elettrica e per quelli alimentati ad idrogeno.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la riduzione al 50% dell’IPT per le formalità aventi ad oggetto veicoli ad alimentazione elettrica esclusiva e per quelli ad idrogeno. Tale riduzione IPT non è cumulabile con altre agevolazioni (es: agevolazioni ai disabili sensoriali, veicoli speciali, ecc.); la parte potrà precisare sulla nota di presentazione quale agevolazione IPT vuole richiedere.</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a favore abbia diritto a più agevolazioni, si applicherà quella a lui più vantaggiosa.</w:t>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01/01/2020, ha previsto la riduzione del 20% dell’IPT (calcolata sempre tenendo conto della percentuale di maggiorazione in vigore) per i veicoli ad alimentazione elettrica, esclusiva o doppia, e per quelli a idrogeno.</w:t>
      </w:r>
    </w:p>
    <w:p w:rsidR="00000000" w:rsidDel="00000000" w:rsidP="00000000" w:rsidRDefault="00000000" w:rsidRPr="00000000" w14:paraId="000001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Salerno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 Nuoro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01.01.2014)</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riduzione ad 1/4 dell’IPT a fronte di veicoli con alimentazione, esclusiva o doppia, elettrica, a gas metano, a GPL, a idrogeno. La Provincia di Nuoro ha precisato che tali agevolazioni non sono cumulabili con altre agevolazioni (es: disabili, veicoli speciali ecc.).</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aventi ad oggetto veicoli ad alimentazione elettrica, esclusiva o doppia, GPL, metano e ad idrogeno.</w:t>
      </w:r>
    </w:p>
    <w:p w:rsidR="00000000" w:rsidDel="00000000" w:rsidP="00000000" w:rsidRDefault="00000000" w:rsidRPr="00000000" w14:paraId="000001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w:t>
      </w:r>
    </w:p>
    <w:p w:rsidR="00000000" w:rsidDel="00000000" w:rsidP="00000000" w:rsidRDefault="00000000" w:rsidRPr="00000000" w14:paraId="000001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01/04/2019) ha deliberato la riduzione al 50% dell’IPT per le formalità aventi ad oggetto veicoli ad alimentazione esclusiva elettrica.</w:t>
      </w:r>
    </w:p>
    <w:p w:rsidR="00000000" w:rsidDel="00000000" w:rsidP="00000000" w:rsidRDefault="00000000" w:rsidRPr="00000000" w14:paraId="000001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w:t>
      </w:r>
    </w:p>
    <w:p w:rsidR="00000000" w:rsidDel="00000000" w:rsidP="00000000" w:rsidRDefault="00000000" w:rsidRPr="00000000" w14:paraId="000001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Napoli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65" w:hanging="3"/>
        <w:jc w:val="both"/>
        <w:rPr>
          <w:rFonts w:ascii="Calibri" w:cs="Calibri" w:eastAsia="Calibri" w:hAnsi="Calibri"/>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03/06/2023, ha previsto la riduzione al 50% dell'IPT per le pratiche riguardanti veicoli ad alimentazione elettrica, a idrogeno, ibrida o gpl.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ATTI SOCIETARI</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Devono ritenersi escluse da tali agevolazioni le cessioni di azienda o rami aziendali.</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previsto l’IPT in misura fissa  per le formalità di trascrizione di atti di fusione o scissione societaria, di conferimento di aziende o rami aziendali in società e conferimento di capitale in natura, cessione di aziende o rami aziendali. Per la corretta gestione del calcolo importi a fronte di cessione di azienda o di ramo aziendale, va valorizzato il flag “V” nel campo “agevolazione disabili”.</w:t>
      </w:r>
    </w:p>
    <w:p w:rsidR="00000000" w:rsidDel="00000000" w:rsidP="00000000" w:rsidRDefault="00000000" w:rsidRPr="00000000" w14:paraId="000001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Mantova, inoltre, ha precisato che può essere applicata l’IPT fissa nei casi di scioglimento di “Studio associato tra professionisti” con prosecuzione dell’attività sotto forma di professionista individuale, in quanto assimilabile a un conferimento o cessione di azienda (in favore di un professionista individuale).</w:t>
      </w:r>
    </w:p>
    <w:p w:rsidR="00000000" w:rsidDel="00000000" w:rsidP="00000000" w:rsidRDefault="00000000" w:rsidRPr="00000000" w14:paraId="000001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1 gennaio 2008 le Amministrazioni Provinciali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Chieti, Cremona, Milano, Pavia, Perugia e Varese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Frosinone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Imperia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Pesaro Urbino, Rieti, Sassari.</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medesima agevolazione 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Latina,</w:t>
      </w: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Terni e Trapani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01/01/2010,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01/01/2011,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Nuoro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01/01/2014),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01.01.2017) 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01/01/2018 (a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 Pescara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 Cesena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01/01/2022),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01/01/2023) 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02/10/2024)</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a fronte degli atti societari di cui al Nuovo regolamento, l’IPT fissa con percentuale di maggiorazione al 30%.</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1.1.2022)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Cagliari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(quest’ultima con decorrenza 01/04/2015),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Sud Sardegna, 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 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 Cesena e Asti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01/01/2023)</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Monza Brianza, Bari, Lecco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Pavia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 e Varese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atti di scioglimento e messa in liquidazione di società e contestuale prosecuzione dell’attività sociale in forma di ditta individuale.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w:t>
      </w:r>
      <w:r w:rsidDel="00000000" w:rsidR="00000000" w:rsidRPr="00000000">
        <w:rPr>
          <w:rFonts w:ascii="Comic Sans MS" w:cs="Comic Sans MS" w:eastAsia="Comic Sans MS" w:hAnsi="Comic Sans MS"/>
          <w:b w:val="1"/>
          <w:bCs w:val="1"/>
          <w:i w:val="0"/>
          <w:iCs w:val="0"/>
          <w:smallCaps w:val="0"/>
          <w:strike w:val="0"/>
          <w:color w:val="434343"/>
          <w:sz w:val="24"/>
          <w:szCs w:val="24"/>
          <w:u w:val="none"/>
          <w:shd w:fill="auto" w:val="clear"/>
          <w:vertAlign w:val="baseline"/>
          <w:rtl w:val="0"/>
        </w:rPr>
        <w:t xml:space="preserve">e Varese </w:t>
      </w:r>
      <w:r w:rsidDel="00000000" w:rsidR="00000000" w:rsidRPr="00000000">
        <w:rPr>
          <w:rFonts w:ascii="Comic Sans MS" w:cs="Comic Sans MS" w:eastAsia="Comic Sans MS" w:hAnsi="Comic Sans MS"/>
          <w:b w:val="0"/>
          <w:bCs w:val="0"/>
          <w:i w:val="0"/>
          <w:iCs w:val="0"/>
          <w:smallCaps w:val="0"/>
          <w:strike w:val="0"/>
          <w:color w:val="434343"/>
          <w:sz w:val="24"/>
          <w:szCs w:val="24"/>
          <w:u w:val="none"/>
          <w:shd w:fill="auto" w:val="clear"/>
          <w:vertAlign w:val="baseline"/>
          <w:rtl w:val="0"/>
        </w:rPr>
        <w:t xml:space="preserve">pr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evedono l’applicazione dell’IPT in misura fissa anche nei casi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costituzione di società con contestuale conferimento dell’azienda da parte dell’imprenditore individuale ai sensi dell’art. 25 L.46/1998.</w:t>
      </w:r>
    </w:p>
    <w:p w:rsidR="00000000" w:rsidDel="00000000" w:rsidP="00000000" w:rsidRDefault="00000000" w:rsidRPr="00000000" w14:paraId="000001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tariffa IPT di cui alla tabella allegata al D.M. 435/98 (quindi senza percentuale di maggiorazione) a fronte di trascrizione di atti societari che comportino trasferimenti di proprietà (form. Cod. 33)  o variazioni ragioni sociali (form. Cod. 85);</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dovrà essere valorizzato, nel campo forma atto presente nella maschera documentazione delle procedure telematiche, uno dei seguenti valori:</w:t>
      </w:r>
    </w:p>
    <w:p w:rsidR="00000000" w:rsidDel="00000000" w:rsidP="00000000" w:rsidRDefault="00000000" w:rsidRPr="00000000" w14:paraId="000001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Atto pubblico</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VB:</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Scrittura privata</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Atto societario.- Sentenza Giudiziaria</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VD</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:Atto societario – Atto Amministrativo.</w:t>
      </w:r>
    </w:p>
    <w:p w:rsidR="00000000" w:rsidDel="00000000" w:rsidP="00000000" w:rsidRDefault="00000000" w:rsidRPr="00000000" w14:paraId="000001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Sondrio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l’IPT in misura fissa, comprensiva della maggiorazione prevista dalla Provincia, per le formalità di fusione societarie tra imprese esercenti servizi di trasporto pubblico locale (per il corretto calcolo degli importi selezionare il flag “V” nel campo disabile).</w:t>
      </w:r>
    </w:p>
    <w:p w:rsidR="00000000" w:rsidDel="00000000" w:rsidP="00000000" w:rsidRDefault="00000000" w:rsidRPr="00000000" w14:paraId="000001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Pistoia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l’IPT nella misura fissa in caso di scioglimento di società con continuazione dell’attività in ditta individuale con obbligo in capo al nuovo soggetto intestatario di attestare o autocertificare l’iscrizione al Registro delle Imprese e trasformazione della ditta individuale in società unipersonale con continuazione della medesima attività in cui il precedente imprenditore intestatario sia unico socio. Per il corretto calcolo degli importi valorizzare il flag “U” del campo disabile.</w:t>
      </w:r>
    </w:p>
    <w:p w:rsidR="00000000" w:rsidDel="00000000" w:rsidP="00000000" w:rsidRDefault="00000000" w:rsidRPr="00000000" w14:paraId="000001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ESENZIONE A FAVORE DELLE IPAB</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Pescara, Ravenna, Reggio Calabria, 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Stessa esenzione è stata deliberata, a far data dal 01/01/2009, anche dalle Amministrazioni Provinciali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Frosinone, Imperia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 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Rieti, Sassari e Verona,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01/01/2010 dalla Provincia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Campobasso, Rovigo, Salerno e 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01/01/2011 dalle Province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Cagliari e Oristano,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15/04/2011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Livorno,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 gennaio 2012,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Isernia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01.01.2015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01.01.2016 dalla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Messina,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dalla Provincia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01.01.2017),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01.01.2018),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01.01.2019),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(dal 01/01/2022)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dalla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Ragusa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(01/01/2025).</w:t>
      </w:r>
    </w:p>
    <w:p w:rsidR="00000000" w:rsidDel="00000000" w:rsidP="00000000" w:rsidRDefault="00000000" w:rsidRPr="00000000" w14:paraId="000001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Detta esenzione si applica solo a condizione che l’Istituzione dichiari di utilizzare direttamente i veicoli per lo svolgimento della propria attività statutaria.</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la gestione automatizzata del calcolo degli importi dovuti a fronte di tali tipologie di formalità, va inserito il flag “B” nel campo “agevolazioni disabili”.</w:t>
      </w:r>
    </w:p>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Vercelli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la riduzione dell’IPT al 50% in favore delle IPAB. Per il corretto calcolo degli importi valorizzare il flag “O” del campo disabile.</w:t>
      </w:r>
    </w:p>
    <w:p w:rsidR="00000000" w:rsidDel="00000000" w:rsidP="00000000" w:rsidRDefault="00000000" w:rsidRPr="00000000" w14:paraId="000001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20"/>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ONLUS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ff0000"/>
          <w:sz w:val="24"/>
          <w:szCs w:val="24"/>
          <w:rtl w:val="0"/>
        </w:rPr>
        <w:t xml:space="preserve">Come precisato nella comunicazione prot. n. 5808 del  18.11.2025, dal 1° gennaio p.v.</w:t>
      </w:r>
      <w:r w:rsidDel="00000000" w:rsidR="00000000" w:rsidRPr="00000000">
        <w:rPr>
          <w:rFonts w:ascii="Comic Sans MS" w:cs="Comic Sans MS" w:eastAsia="Comic Sans MS" w:hAnsi="Comic Sans MS"/>
          <w:color w:val="222222"/>
          <w:sz w:val="24"/>
          <w:szCs w:val="24"/>
          <w:highlight w:val="white"/>
          <w:rtl w:val="0"/>
        </w:rPr>
        <w:t xml:space="preserve"> </w:t>
      </w:r>
      <w:r w:rsidDel="00000000" w:rsidR="00000000" w:rsidRPr="00000000">
        <w:rPr>
          <w:rFonts w:ascii="Comic Sans MS" w:cs="Comic Sans MS" w:eastAsia="Comic Sans MS" w:hAnsi="Comic Sans MS"/>
          <w:color w:val="ff0000"/>
          <w:sz w:val="24"/>
          <w:szCs w:val="24"/>
          <w:highlight w:val="white"/>
          <w:rtl w:val="0"/>
        </w:rPr>
        <w:t xml:space="preserve">l’Anagrafe delle ONLUS gestita dall’Agenzia delle Entrate </w:t>
      </w:r>
      <w:r w:rsidDel="00000000" w:rsidR="00000000" w:rsidRPr="00000000">
        <w:rPr>
          <w:rFonts w:ascii="Comic Sans MS" w:cs="Comic Sans MS" w:eastAsia="Comic Sans MS" w:hAnsi="Comic Sans MS"/>
          <w:color w:val="ff0000"/>
          <w:sz w:val="24"/>
          <w:szCs w:val="24"/>
          <w:rtl w:val="0"/>
        </w:rPr>
        <w:t xml:space="preserve"> </w:t>
      </w:r>
      <w:r w:rsidDel="00000000" w:rsidR="00000000" w:rsidRPr="00000000">
        <w:rPr>
          <w:rFonts w:ascii="Comic Sans MS" w:cs="Comic Sans MS" w:eastAsia="Comic Sans MS" w:hAnsi="Comic Sans MS"/>
          <w:color w:val="ff0000"/>
          <w:sz w:val="24"/>
          <w:szCs w:val="24"/>
          <w:highlight w:val="white"/>
          <w:rtl w:val="0"/>
        </w:rPr>
        <w:t xml:space="preserve">cessa di avere validità e, pertanto, per le formalità presentate per la prima volta da tale data, le ONLUS non potranno più godere di agevolazioni/esenzioni. Eventuali Regolamenti difformi da tale previsione di legge non potranno essere applicati</w:t>
      </w:r>
      <w:r w:rsidDel="00000000" w:rsidR="00000000" w:rsidRPr="00000000">
        <w:rPr>
          <w:rFonts w:ascii="Comic Sans MS" w:cs="Comic Sans MS" w:eastAsia="Comic Sans MS" w:hAnsi="Comic Sans MS"/>
          <w:color w:val="222222"/>
          <w:sz w:val="24"/>
          <w:szCs w:val="24"/>
          <w:highlight w:val="white"/>
          <w:rtl w:val="0"/>
        </w:rPr>
        <w:t xml:space="preserve">.</w:t>
      </w:r>
    </w:p>
    <w:p w:rsidR="00000000" w:rsidDel="00000000" w:rsidP="00000000" w:rsidRDefault="00000000" w:rsidRPr="00000000" w14:paraId="000001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firstLine="0"/>
        <w:jc w:val="both"/>
        <w:rPr>
          <w:rFonts w:ascii="Comic Sans MS" w:cs="Comic Sans MS" w:eastAsia="Comic Sans MS" w:hAnsi="Comic Sans MS"/>
          <w:color w:val="ff0000"/>
          <w:sz w:val="24"/>
          <w:szCs w:val="24"/>
          <w:highlight w:val="white"/>
        </w:rPr>
      </w:pPr>
      <w:r w:rsidDel="00000000" w:rsidR="00000000" w:rsidRPr="00000000">
        <w:rPr>
          <w:rFonts w:ascii="Comic Sans MS" w:cs="Comic Sans MS" w:eastAsia="Comic Sans MS" w:hAnsi="Comic Sans MS"/>
          <w:color w:val="ff0000"/>
          <w:sz w:val="24"/>
          <w:szCs w:val="24"/>
          <w:highlight w:val="white"/>
          <w:rtl w:val="0"/>
        </w:rPr>
        <w:t xml:space="preserve">Per eventuali formalità presentate per la prima volta ante 1° gennaio 2026 verificare la presenza di agevolazioni/esenzioni nella SCHEDA di Sintesi AGG.269.</w:t>
      </w:r>
    </w:p>
    <w:p w:rsidR="00000000" w:rsidDel="00000000" w:rsidP="00000000" w:rsidRDefault="00000000" w:rsidRPr="00000000" w14:paraId="000001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48"/>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TERZO SETTORE</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l’esenzione IPT per le formalità a favore degli enti del Terzo settore di cui al D.L. n.117 del 3 luglio 2017.</w:t>
      </w:r>
    </w:p>
    <w:p w:rsidR="00000000" w:rsidDel="00000000" w:rsidP="00000000" w:rsidRDefault="00000000" w:rsidRPr="00000000" w14:paraId="000001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Biella, Cagliari, Chieti, Forlì-Cesena, Genova,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Grosseto, L’Aquila, Lecce,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Milano,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Monza Brianza, Oristano, Padova, Perugia, Pesaro Urbino, Pescara, Potenza, Prato, Ragusa, Ravenna, Reggio Calabria, Rieti, Rovigo, Savona, Sie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na, Taranto, </w:t>
      </w:r>
      <w:r w:rsidDel="00000000" w:rsidR="00000000" w:rsidRPr="00000000">
        <w:rPr>
          <w:rFonts w:ascii="Comic Sans MS" w:cs="Comic Sans MS" w:eastAsia="Comic Sans MS" w:hAnsi="Comic Sans MS"/>
          <w:b w:val="1"/>
          <w:bCs w:val="1"/>
          <w:color w:val="ff0000"/>
          <w:sz w:val="24"/>
          <w:szCs w:val="24"/>
          <w:rtl w:val="0"/>
        </w:rPr>
        <w:t xml:space="preserve">T</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erni,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Verona,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Verbano Cusio Ossola e 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 che sono esentate dal pagamento dell’imposta le operazioni di trascrizione/iscrizione di veicoli effettuate a favore degli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b w:val="1"/>
          <w:bCs w:val="1"/>
          <w:color w:val="ff0000"/>
          <w:sz w:val="24"/>
          <w:szCs w:val="24"/>
          <w:highlight w:val="white"/>
          <w:rtl w:val="0"/>
        </w:rPr>
        <w:t xml:space="preserve">Terni,</w:t>
      </w:r>
      <w:r w:rsidDel="00000000" w:rsidR="00000000" w:rsidRPr="00000000">
        <w:rPr>
          <w:rFonts w:ascii="Comic Sans MS" w:cs="Comic Sans MS" w:eastAsia="Comic Sans MS" w:hAnsi="Comic Sans MS"/>
          <w:color w:val="ff0000"/>
          <w:sz w:val="24"/>
          <w:szCs w:val="24"/>
          <w:highlight w:val="white"/>
          <w:rtl w:val="0"/>
        </w:rPr>
        <w:t xml:space="preserve"> ha previsto l’esenzione IPT per </w:t>
      </w:r>
      <w:r w:rsidDel="00000000" w:rsidR="00000000" w:rsidRPr="00000000">
        <w:rPr>
          <w:rFonts w:ascii="Comic Sans MS" w:cs="Comic Sans MS" w:eastAsia="Comic Sans MS" w:hAnsi="Comic Sans MS"/>
          <w:color w:val="ff0000"/>
          <w:sz w:val="24"/>
          <w:szCs w:val="24"/>
          <w:highlight w:val="white"/>
          <w:u w:val="single"/>
          <w:rtl w:val="0"/>
        </w:rPr>
        <w:t xml:space="preserve">tutti gli Enti del Terzo settore</w:t>
      </w:r>
      <w:r w:rsidDel="00000000" w:rsidR="00000000" w:rsidRPr="00000000">
        <w:rPr>
          <w:rFonts w:ascii="Comic Sans MS" w:cs="Comic Sans MS" w:eastAsia="Comic Sans MS" w:hAnsi="Comic Sans MS"/>
          <w:color w:val="ff0000"/>
          <w:sz w:val="24"/>
          <w:szCs w:val="24"/>
          <w:highlight w:val="white"/>
          <w:rtl w:val="0"/>
        </w:rPr>
        <w:t xml:space="preserve"> nonché per gli </w:t>
      </w:r>
      <w:r w:rsidDel="00000000" w:rsidR="00000000" w:rsidRPr="00000000">
        <w:rPr>
          <w:rFonts w:ascii="Comic Sans MS" w:cs="Comic Sans MS" w:eastAsia="Comic Sans MS" w:hAnsi="Comic Sans MS"/>
          <w:color w:val="ff0000"/>
          <w:sz w:val="24"/>
          <w:szCs w:val="24"/>
          <w:highlight w:val="white"/>
          <w:u w:val="single"/>
          <w:rtl w:val="0"/>
        </w:rPr>
        <w:t xml:space="preserve">Enti religiosi civilmente riconosciuti,</w:t>
      </w:r>
      <w:r w:rsidDel="00000000" w:rsidR="00000000" w:rsidRPr="00000000">
        <w:rPr>
          <w:rFonts w:ascii="Comic Sans MS" w:cs="Comic Sans MS" w:eastAsia="Comic Sans MS" w:hAnsi="Comic Sans MS"/>
          <w:color w:val="ff0000"/>
          <w:sz w:val="24"/>
          <w:szCs w:val="24"/>
          <w:highlight w:val="white"/>
          <w:rtl w:val="0"/>
        </w:rPr>
        <w:t xml:space="preserve"> (per le attività di interesse generale di cui all'articolo 5 D.lgs. n. 117/2017, a condizione che per tali attività adottino un regolamento depositato nel Registro unico nazionale del Terzo settore) </w:t>
      </w:r>
      <w:r w:rsidDel="00000000" w:rsidR="00000000" w:rsidRPr="00000000">
        <w:rPr>
          <w:rFonts w:ascii="Comic Sans MS" w:cs="Comic Sans MS" w:eastAsia="Comic Sans MS" w:hAnsi="Comic Sans MS"/>
          <w:color w:val="ff0000"/>
          <w:sz w:val="24"/>
          <w:szCs w:val="24"/>
          <w:rtl w:val="0"/>
        </w:rPr>
        <w:t xml:space="preserve">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l’esenzione per gli Enti del terzo settore iscritti nel Registro Unico Nazionale del Terzo Settore (RUNTS) ai sensi del D.Lgs. 117/2017 per operazioni di acquisto di veicoli effettuate dagli stessi per atti connessi allo svolgimento delle loro attività;</w:t>
      </w:r>
    </w:p>
    <w:p w:rsidR="00000000" w:rsidDel="00000000" w:rsidP="00000000" w:rsidRDefault="00000000" w:rsidRPr="00000000" w14:paraId="000001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previsto che sono esentate dal pagamento dell’imposta le operazioni di trascrizione/iscrizione di veicoli effettuate dagli enti del Terzo Settore, iscritti al R.U.N.T.S. alle sezioni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organizzazioni di volontariato, società di mutuo soccorso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associazioni di promozione sociale operanti nel campo volontariato disabili e solidarietà, raccolta fondi per patologie e a sostegno di familiari di malati e famiglie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non hanno per oggetto esclusivo o principale l'esercizio di attività commerciale. Per usufruire dell’esenzione la parte deve dichiarare mediante apposita dichiarazione sostitutiva che il veicolo oggetto della trascrizione/iscrizione al PRA è utilizzato esclusivamente per lo svolgimento di attività non commerciali.</w:t>
      </w:r>
    </w:p>
    <w:p w:rsidR="00000000" w:rsidDel="00000000" w:rsidP="00000000" w:rsidRDefault="00000000" w:rsidRPr="00000000" w14:paraId="000001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Pistoia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previsto che sono esentate dal pagamento dell’imposta le operazioni di trascrizione/iscrizione di veicoli effettuate dagli enti del Terzo Settore, iscritti al R.U.N.T.S. alle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società di mutuo soccorso</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imprese sociali incluse le cooperative sociali,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associazioni di promozione sociale operanti nel campo volontariato disabili e solidarietà, raccolta fondi per patologie e a sostegno di familiari di malati e famiglie,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che non hanno per oggetto esclusivo o principale l'esercizio di attività commerciale. Per usufruire dell’esenzione la parte deve dichiarare mediante apposita dichiarazione sostitutiva che il veicolo oggetto della trascrizione/iscrizione al PRA è utilizzato esclusivamente per lo svolgimento di attività non commerciali.</w:t>
      </w:r>
    </w:p>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Al fine di beneficiare dell’esenzione le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Associazioni di promozione sociale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dovranno presentare altresì apposita dichiarazione sostitutiva di atto notorio sottoscritta dal legale rappresentante dell’associazione stessa nella quale attestano di operare in uno o più dei seguenti campi:</w:t>
      </w:r>
    </w:p>
    <w:p w:rsidR="00000000" w:rsidDel="00000000" w:rsidP="00000000" w:rsidRDefault="00000000" w:rsidRPr="00000000" w14:paraId="000001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assistenza e/o soccorso sanitario;</w:t>
      </w:r>
    </w:p>
    <w:p w:rsidR="00000000" w:rsidDel="00000000" w:rsidP="00000000" w:rsidRDefault="00000000" w:rsidRPr="00000000" w14:paraId="000001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sostegno a disabili, malati e loro familiari, direttamente o tramite raccolta fondi;</w:t>
      </w:r>
    </w:p>
    <w:p w:rsidR="00000000" w:rsidDel="00000000" w:rsidP="00000000" w:rsidRDefault="00000000" w:rsidRPr="00000000" w14:paraId="000001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raccolta fondi per la ricerca su patologie;</w:t>
      </w:r>
    </w:p>
    <w:p w:rsidR="00000000" w:rsidDel="00000000" w:rsidP="00000000" w:rsidRDefault="00000000" w:rsidRPr="00000000" w14:paraId="000001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solidarietà sociale verso categorie deboli (anziani, persone in difficoltà).</w:t>
      </w:r>
    </w:p>
    <w:p w:rsidR="00000000" w:rsidDel="00000000" w:rsidP="00000000" w:rsidRDefault="00000000" w:rsidRPr="00000000" w14:paraId="000001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 Brescia, Firenze,</w:t>
      </w:r>
      <w:r w:rsidDel="00000000" w:rsidR="00000000" w:rsidRPr="00000000">
        <w:rPr>
          <w:rFonts w:ascii="Comic Sans MS" w:cs="Comic Sans MS" w:eastAsia="Comic Sans MS" w:hAnsi="Comic Sans MS"/>
          <w:b w:val="1"/>
          <w:bCs w:val="1"/>
          <w:sz w:val="24"/>
          <w:szCs w:val="24"/>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Sassari, Trapani e Varese han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no previsto che sono esentate dal pagamento dell’imposta gli atti a favore degli Enti del Terzo settore nella forma delle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Organizzazioni di volontariato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ai sensi dell’art.32, di cui al D.Lgs. 3 luglio 2017, n.117, iscritti al Registro Unico Nazionale degli Enti del terzo settore (RUNTS).</w:t>
      </w:r>
    </w:p>
    <w:p w:rsidR="00000000" w:rsidDel="00000000" w:rsidP="00000000" w:rsidRDefault="00000000" w:rsidRPr="00000000" w14:paraId="000001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altresì che non sono soggette all’aumento della tariffa di base IPT le operazioni di acquisto di veicoli (nuovi o usati) effettuate dagli Enti del Terzo Settore iscritti al RUNTS (diversi dalle organizzazioni di volontariato che, come riportato nel periodo precedente, sono esenti), a condizione che i medesimi soggetti dichiarino di utilizzare tali veicoli esclusivamente per lo svolgimento di attività non commerciali.</w:t>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valorizzare il flag “V” del campo disabile.</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hd w:fill="ffffff" w:val="clear"/>
        <w:ind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La Provincia di </w:t>
      </w:r>
      <w:r w:rsidDel="00000000" w:rsidR="00000000" w:rsidRPr="00000000">
        <w:rPr>
          <w:rFonts w:ascii="Comic Sans MS" w:cs="Comic Sans MS" w:eastAsia="Comic Sans MS" w:hAnsi="Comic Sans MS"/>
          <w:b w:val="1"/>
          <w:bCs w:val="1"/>
          <w:color w:val="ff0000"/>
          <w:sz w:val="24"/>
          <w:szCs w:val="24"/>
          <w:rtl w:val="0"/>
        </w:rPr>
        <w:t xml:space="preserve">Macerata,</w:t>
      </w:r>
      <w:r w:rsidDel="00000000" w:rsidR="00000000" w:rsidRPr="00000000">
        <w:rPr>
          <w:rFonts w:ascii="Comic Sans MS" w:cs="Comic Sans MS" w:eastAsia="Comic Sans MS" w:hAnsi="Comic Sans MS"/>
          <w:color w:val="ff0000"/>
          <w:sz w:val="24"/>
          <w:szCs w:val="24"/>
          <w:rtl w:val="0"/>
        </w:rPr>
        <w:t xml:space="preserve">ha pr</w:t>
      </w:r>
      <w:r w:rsidDel="00000000" w:rsidR="00000000" w:rsidRPr="00000000">
        <w:rPr>
          <w:rFonts w:ascii="Comic Sans MS" w:cs="Comic Sans MS" w:eastAsia="Comic Sans MS" w:hAnsi="Comic Sans MS"/>
          <w:color w:val="ff0000"/>
          <w:sz w:val="24"/>
          <w:szCs w:val="24"/>
          <w:rtl w:val="0"/>
        </w:rPr>
        <w:t xml:space="preserve">evisto che sono esentati dal pagamento dell’imposta gli atti a favore degli Enti del Terzo settore nella forma delle </w:t>
      </w:r>
      <w:r w:rsidDel="00000000" w:rsidR="00000000" w:rsidRPr="00000000">
        <w:rPr>
          <w:rFonts w:ascii="Comic Sans MS" w:cs="Comic Sans MS" w:eastAsia="Comic Sans MS" w:hAnsi="Comic Sans MS"/>
          <w:color w:val="ff0000"/>
          <w:sz w:val="24"/>
          <w:szCs w:val="24"/>
          <w:u w:val="single"/>
          <w:rtl w:val="0"/>
        </w:rPr>
        <w:t xml:space="preserve">Organizzazioni di volontariato</w:t>
      </w:r>
      <w:r w:rsidDel="00000000" w:rsidR="00000000" w:rsidRPr="00000000">
        <w:rPr>
          <w:rFonts w:ascii="Comic Sans MS" w:cs="Comic Sans MS" w:eastAsia="Comic Sans MS" w:hAnsi="Comic Sans MS"/>
          <w:color w:val="ff0000"/>
          <w:sz w:val="24"/>
          <w:szCs w:val="24"/>
          <w:rtl w:val="0"/>
        </w:rPr>
        <w:t xml:space="preserve">, ai sensi dell’art.32, di cui al D.Lgs. 3 luglio 2017, n.117, iscritti al Registro Unico Nazionale degli Enti del terzo settore (RUNTS) previa presentazione di dichiarazione sostitutiva di certificazione che il veicolo oggetto della trascrizione/iscrizione al PRA è utilizzato esclusivamente per lo svolgimento di attività non commerciali.</w:t>
      </w:r>
    </w:p>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deliberato l’esenzione IPT per gli acquisti di veicoli, nuovi o usati, in favore degli Enti del Terzo Settore iscritti al RUNTS. Si precisa che l’esenzione IPT opera anche per gli acquisti di veicoli in favore di Organizzazioni non governative (ONG), Enti Religiosi civilmente riconosciuti e Istituzioni riordinate in aziende pubbliche di servizi alla persona (ex IPAB) purché risultino (tutte) iscritte nel RUNTS.</w:t>
      </w:r>
    </w:p>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usufruire dell’esenzione, la parte deve dichiarare (mediante apposita DS) che il veicolo oggetto della trascrizione/iscrizione al PRA è utilizzato, per almeno 2 (due) anni dall’acquisto, in via esclusiva o prevalente, per l’esercizio delle attività proprie dell’ente</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Campobasso, Foggia,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Mantova e Rimini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hanno previsto che sono esentate dal pagamento dell’imposta gli atti a favore degli Enti del Terzo settore iscritti al RUNTS, nella forma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nonché di Cooperative Sociali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di cui alla L. 8/11/1991 n°381 e successive modifiche e integrazioni. Per usufruire dell’esenzione la parte deve dichiarare (mediante apposita DS)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singl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Cremona, Ferrara, Parma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Reggio Emilia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hanno previsto che sono esentate dal pagamento dell’I.P.T. le operazioni di trascrizione/iscrizione di veicoli effettuati dagli enti del Terzo Settore, iscritti al R.U.N.T.S. alle seguenti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imprese sociali.</w:t>
      </w:r>
    </w:p>
    <w:p w:rsidR="00000000" w:rsidDel="00000000" w:rsidP="00000000" w:rsidRDefault="00000000" w:rsidRPr="00000000" w14:paraId="000001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potere usufruire dell’esenzione l’ente deve dichiarare mediante apposita dichiarazione sostitutiva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Piacenza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che sono esentate dal pagamento dell’I.P.T. le operazioni di trascrizione/iscrizione di veicoli effettuati dagli enti del Terzo Settore, iscritti al R.U.N.T.S. alle seguenti sezioni: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imprese sociali incluse le cooperative sociali.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usufruire dell’esenzione la parte deve dichiarare (mediante apposita DS) che il veicolo oggetto della trascrizione/iscrizione al PRA è utilizzato esclusivamente per lo svolgimento di attività, non commerciali, aventi finalità civiche, solidaristiche e di utilità sociale.</w:t>
      </w:r>
    </w:p>
    <w:p w:rsidR="00000000" w:rsidDel="00000000" w:rsidP="00000000" w:rsidRDefault="00000000" w:rsidRPr="00000000" w14:paraId="000001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Massa Carrara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che sono esentate dal pagamento dell’imposta gli atti a favore degli Enti del Terzo settore iscritti al RUNTS, nella forma di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single"/>
          <w:vertAlign w:val="baseline"/>
          <w:rtl w:val="0"/>
        </w:rPr>
        <w:t xml:space="preserve">Organizzazioni di volontariato e Associazioni di Promozione Sociale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1"/>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sono esentate dal pagamento dell'imposta gli atti a favore delle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Organizzazioni di volontariato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tutti gli altri Enti del Terzo Settore iscritti al RUNTS, è previsto il pagamento dell'IPT agevolata al 10% (flag “G”) .</w:t>
      </w:r>
    </w:p>
    <w:p w:rsidR="00000000" w:rsidDel="00000000" w:rsidP="00000000" w:rsidRDefault="00000000" w:rsidRPr="00000000" w14:paraId="000001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SW non prevedono alcun flag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ad hoc</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la gestione di tali casistiche; pertanto, per il corretto calcolo degli importi è necessario selezionare il flag “I” per le pratiche DU e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pratiche Copernico, presente nel campo esenzione.</w:t>
      </w:r>
    </w:p>
    <w:p w:rsidR="00000000" w:rsidDel="00000000" w:rsidP="00000000" w:rsidRDefault="00000000" w:rsidRPr="00000000" w14:paraId="000001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Viterbo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l’esenzione IPT per gli atti a favore delle Organizzazioni di volontariato iscritte al RUNTS (flag “I” per le pratiche DU e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per le pratiche Copernico);</w:t>
      </w:r>
    </w:p>
    <w:p w:rsidR="00000000" w:rsidDel="00000000" w:rsidP="00000000" w:rsidRDefault="00000000" w:rsidRPr="00000000" w14:paraId="000001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l’IPT in misura fissa per gli atti a favore Imprese Sociali costituite anche in forma di cooperativa iscritte al RUNTS. Per il corretto calcolo degli importi, valorizzare il flag “V” nel campo disabile.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usufruire dell’esenzione/agevolazione, la parte deve dichiarare, mediante apposita dichiarazione sostitutiva, che il veicolo oggetto della trascrizione/iscrizione al PRA è utilizzato esclusivamente per lo svolgimento di attività non commerciali. </w:t>
      </w:r>
    </w:p>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Lucca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riduzione al 10% dell’IPT per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  Per il corretto calcolo importi, valorizzare il flag “G” del campo disabile.</w:t>
      </w:r>
    </w:p>
    <w:p w:rsidR="00000000" w:rsidDel="00000000" w:rsidP="00000000" w:rsidRDefault="00000000" w:rsidRPr="00000000" w14:paraId="000001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Novara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 corresponsione dell’IPT nella misura del 50% dell’IPT “fissa” comprensiva della percentuale di maggiorazione per le operazioni di trascrizione/iscrizione di veicoli effettuate in favore degli enti del Terzo Settore individuati all’art. 4 del D. Lgs. n. 117/2017, iscritti al RUNTS. Per usufruire dell’esenzione l’ente deve dichiarare  che il veicolo oggetto della trascrizione/iscrizione al PRA è utilizzato esclusivamente per lo svolgimento della propria attività statutaria.</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importi, valorizzare il flag “C” del campo disabile.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Vercelli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riduzione dell’IPT al 50% per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 Per il corretto calcolo importi, valorizzare il flag “O” del campo disabile.</w:t>
      </w:r>
    </w:p>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00"/>
        </w:tabs>
        <w:spacing w:after="0" w:before="0" w:line="240" w:lineRule="auto"/>
        <w:ind w:left="0" w:right="284"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092"/>
        </w:tabs>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CANCELLAZIONI DI IPOTECHE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Biella, Cagliari, Messina, Oristano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Pisa, Rovigo, Salerno, Sassari, Sud Sardegna,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 Vercelli,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la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Regione Autonoma Friuli Venezia Giulia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precisato che l’esenzione IPT per la cancellazione di ipoteche legali o convenzionali (art.3 comma 13 bis D.L.185/2008 convertito nella L.2/2009) si applicano esclusivamente alle formalità relative ad ipoteche iscritte dal 29/01/2009.</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procedure effettuano un controllo automatico sulla data di iscrizione dell’ipoteca.</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ATTI SOGGETTI AD IVA</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p>
    <w:p w:rsidR="00000000" w:rsidDel="00000000" w:rsidP="00000000" w:rsidRDefault="00000000" w:rsidRPr="00000000" w14:paraId="000001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1"/>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FORMALITA’ DI COMPETENZA DELLE PROVINCE UBICATE NELLE REGIONI A STATUTO ORDINARIO E NELLE REGIONI A STATUTO SPECIALE</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28 dicembre u.s , l’assoggettamento alla IPT in misura proporzionale per gli atti soggetti ad IVA è stato, come noto, esteso anche alle Regioni a Statuto Speciale (Valle d’Aosta- Friuli Venezia Giulia, Sicilia e Sardegna)..Pertanto si è provveduto ad adeguare il SW ,allo scopo di consentire la corretta contabilizzazione della tariffa IPT dovuta anche per le formalità di competenza delle Province ubicate nelle suddette Regioni e presentate (per la prima volta) dal 28 dicembre 2011 .</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6"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Valle D’Aosta, discostandosi da quanto precisato dal MEF con nota n°15508 del 12 settembre 2011, ha precisato ad ACI che ai fini dell’applicazione delle nuove misure tariffarie si dovrà far riferimento alla data di immatricolazione per le formalità di primo impianto e alla data dell’atto in tutti gli altri casi.</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2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formalità con atti soggetti ad IVA di competenza di tali Province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è quindi più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necessario allegare alle formalità alcuna documentazione comprovante che l’atto sia soggetto ad IVA in quanto ciò non ha più ripercussioni di natura fiscale. Pertanto,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valorizzazione a “SI” del campo soggetto ad IVA sarà effettuata sulla base di quanto dichiarato nella nota di presentazione della formalità, senza alcun ulteriore controllo da parte dell’Ufficio periferico ACI.</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2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FORMALITA’ DI COMPETENZA DELLE PROVINCE AUTONOME:</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tariffa fissa a fronte di atti soggetti ad IVA è stata invece confermata per le formalità di competenza delle Province autonome di Bolzano e Trento (Circolare DSD n°14788 del 27.12.2011), con decorrenza- rispettivamente – dal 28.12.2011 e dal 29.12.2011.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Quindi a fronte di tali formalità permane l’obbligo di allegare la fattura o equivalente documentazione fiscale in caso di atti soggetti ad IVA.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salvo diverse indicazioni da parte delle Province interessate.</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ULTERIORI CASISTICHE PREVISTE DA ALCUNI REGOLAMENTI IPT PER ATTI SOGGETTI AD IVA:</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alcune Province, nei propri Regolamenti IPT, hanno previsto alcune particolarità a fronte di formalità basate su atti soggetti ad IVA (vedi paragrafo “agevolazione a favore dei portatori di handicap” per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 e il paragrafo “Altre casistiche particolari” per le percentuali di maggiorazione IPT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Anche a fronte di tali casistiche resta confermato l’obbligo di allegare fattura, o equivalente documentazione fiscale, a fronte di atti soggetti ad IVA.</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ad eccezione di Crotone, che ha previsto l’obbligo di allegare sempre la fattura, o equivalente documentazione fiscale, anche a fronte di tali casistiche.</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948"/>
        </w:tabs>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3948"/>
        </w:tabs>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FATTURE ESENTI DA IVA</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Bolzano e 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l’IPT in misura proporzionale per le trascrizioni relative ad operazioni esenti da IVA ai sensi dell’ art. 10, n. 27 quinquies del DPR 633/72.</w:t>
      </w:r>
    </w:p>
    <w:p w:rsidR="00000000" w:rsidDel="00000000" w:rsidP="00000000" w:rsidRDefault="00000000" w:rsidRPr="00000000" w14:paraId="000001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AGEVOLAZIONI IPT PER VEICOLI “STORICI”.</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(appositamente indicate nel file excel con il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solo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simbolo “X”) hanno subordinato la possibilità di godere delle agevolazioni previste per i veicoli storici (quindi i veicoli trentennali) alla presentazione di un’autocertificazione nella quale si dichiari l’uso non professionale del veicolo.</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nel file excel (all.2) sia presente la sola “X”, tale autocertificazione va allegata tutte le volte in cui viene richiesta l’agevolazione in parola indipendentemente dalla classe del veicolo oggetto della formalità (quindi sia che si tratti di autovetture o autocarri, motocarri, veicolo per trasporto specifico o uso speciale, ecc).</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Ciò estende la possibilità di godere delle agevolazioni in parola anche nel caso di veicoli che per le loro caratteristiche vengono considerati generalmente ad uso professionale (autocarri, veicoli ad uso speciale o trasporto specifico). </w:t>
      </w:r>
    </w:p>
    <w:p w:rsidR="00000000" w:rsidDel="00000000" w:rsidP="00000000" w:rsidRDefault="00000000" w:rsidRPr="00000000" w14:paraId="000001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(appositamente indicate nel file excel citato con il simbolo “XP”) hanno previsto l’Utilizzo della DS di uso non professionale solo per alcune categorie di veicoli o soggetti. Ulteriori Province hanno previsto la sussistenza di particolari requisiti per concedere le agevolazioni in parola (appositamente indicate in detto file excel con il simbolo “P”).</w:t>
      </w:r>
    </w:p>
    <w:p w:rsidR="00000000" w:rsidDel="00000000" w:rsidP="00000000" w:rsidRDefault="00000000" w:rsidRPr="00000000" w14:paraId="000001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highlight w:val="whit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Qualora nel file excel (all.2) il campo non risulti valorizzato, la Provincia non ha deliberato alcunché in maniera specifica.</w:t>
      </w:r>
      <w:r w:rsidDel="00000000" w:rsidR="00000000" w:rsidRPr="00000000">
        <w:rPr>
          <w:rFonts w:ascii="Comic Sans MS" w:cs="Comic Sans MS" w:eastAsia="Comic Sans MS" w:hAnsi="Comic Sans MS"/>
          <w:b w:val="0"/>
          <w:bCs w:val="0"/>
          <w:i w:val="0"/>
          <w:iCs w:val="0"/>
          <w:smallCaps w:val="0"/>
          <w:strike w:val="0"/>
          <w:color w:val="ff0000"/>
          <w:sz w:val="24"/>
          <w:szCs w:val="24"/>
          <w:highlight w:val="white"/>
          <w:u w:val="none"/>
          <w:vertAlign w:val="baseline"/>
          <w:rtl w:val="0"/>
        </w:rPr>
        <w:t xml:space="preserve"> A fronte di casi dubbi sarà necessario chiedere un parere alla Provincia di c</w:t>
      </w:r>
      <w:r w:rsidDel="00000000" w:rsidR="00000000" w:rsidRPr="00000000">
        <w:rPr>
          <w:rFonts w:ascii="Comic Sans MS" w:cs="Comic Sans MS" w:eastAsia="Comic Sans MS" w:hAnsi="Comic Sans MS"/>
          <w:color w:val="ff0000"/>
          <w:sz w:val="24"/>
          <w:szCs w:val="24"/>
          <w:highlight w:val="white"/>
          <w:rtl w:val="0"/>
        </w:rPr>
        <w:t xml:space="preserve">ompetenza.</w:t>
      </w:r>
    </w:p>
    <w:p w:rsidR="00000000" w:rsidDel="00000000" w:rsidP="00000000" w:rsidRDefault="00000000" w:rsidRPr="00000000" w14:paraId="000001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riportano di seguito le particolarità stabilite dalle singole Province identificate nel file excel con i simboli “XP” e “P”. </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Arezzo, Campobasso,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l’agevolazione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può essere riconosciuta nel caso in cui la formalità venga effettuata a favore di una persona giuridica. Invece, nel caso di persone fisiche alla pratica si dovrà sempre allegare, per tutti i veicoli, la DS di uso non professionale.</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Perugia ha precisato che l'autocertificazione di uso non professionale non è richiesta per i motocicli.</w:t>
      </w:r>
    </w:p>
    <w:p w:rsidR="00000000" w:rsidDel="00000000" w:rsidP="00000000" w:rsidRDefault="00000000" w:rsidRPr="00000000" w14:paraId="000001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Catania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per godere delle agevolazioni previste per i veicoli storici, la data di autentica della sottoscrizione dell’atto di acquisto del veicolo deve essere successiva al compimento del trentesimo anno dalla costruzione dello stesso. 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l’autocertificazione di uso non professionale deve essere presentata per tutti i veicoli ad eccezione dei motocicli ed è ammissibile anche nel caso in cui la formalità venga effettuata a favore di una persona giuridica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ha previsto che per godere dell’agevolazione deve essere allegata al fascicolo la DS di uso non professionale. Non è necessario allegare la suddetta dichiarazione per motocicli, motocarrozzette, autovetture, autoveicoli ad uso promiscuo e autocaravan. </w:t>
      </w:r>
    </w:p>
    <w:p w:rsidR="00000000" w:rsidDel="00000000" w:rsidP="00000000" w:rsidRDefault="00000000" w:rsidRPr="00000000" w14:paraId="000001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Province de</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 L’Aquila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iconoscono le agevolazioni previste per i veicoli storici solo in caso di pratiche aventi ad oggetto tipologie di veicoli ad uso non professionale (ossia autovetture, gli autoveicoli per trasporto promiscuo, gli autocaravan, i motocicli, le motocarrozzette e i motoveicoli per trasporto promiscuo - purché a uso “proprio”) e a condizione che venga allegata la DS di uso non professionale del veicolo. </w:t>
      </w:r>
    </w:p>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Grosseto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rsidR="00000000" w:rsidDel="00000000" w:rsidP="00000000" w:rsidRDefault="00000000" w:rsidRPr="00000000" w14:paraId="000001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Piacenza, 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 Vicenza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precisato che l’autocertificazione di uso non professionale deve essere presentata per tutti i veicoli ad eccezione dei motocicli.</w:t>
      </w:r>
    </w:p>
    <w:p w:rsidR="00000000" w:rsidDel="00000000" w:rsidP="00000000" w:rsidRDefault="00000000" w:rsidRPr="00000000" w14:paraId="000001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si presume l’uso professionale nel caso di soggetti titolari di partita IVA, fatta salva la possibilità di prova contraria da formalizzare tramite presentazione alla Provincia di idonea documentazione a comprova e dimostrazione di uso non professionale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Pertanto, alla pratica con richiesta di agevolazione si dovrà sempre allegare, per tutti i veicoli, la DS di uso non professionale sottoscritta, in caso di persona giuridica, dal rappresentante legale della stessa.</w:t>
      </w:r>
    </w:p>
    <w:p w:rsidR="00000000" w:rsidDel="00000000" w:rsidP="00000000" w:rsidRDefault="00000000" w:rsidRPr="00000000" w14:paraId="000001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Ulteriore presupposto per godere dell’agevolazione in parola è che la data di autentica della sottoscrizione dell’atto di acquisto del veicolo sia successiva al compimento del trentesimo anno dalla costruzione dello stesso.</w:t>
      </w:r>
    </w:p>
    <w:p w:rsidR="00000000" w:rsidDel="00000000" w:rsidP="00000000" w:rsidRDefault="00000000" w:rsidRPr="00000000" w14:paraId="000001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Fermo, Ascoli Piceno e Macerata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rsidR="00000000" w:rsidDel="00000000" w:rsidP="00000000" w:rsidRDefault="00000000" w:rsidRPr="00000000" w14:paraId="000001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rsidR="00000000" w:rsidDel="00000000" w:rsidP="00000000" w:rsidRDefault="00000000" w:rsidRPr="00000000" w14:paraId="000001F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Bergamo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01.01.2015)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e 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01.01.2025)</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stabilito che sono esclusi dall'agevolazione i veicoli destinati al trasporto merci ed i veicoli ad uso speciale per i quali si presume sempre l'uso professionale, a meno che non siano iscritti nei registri storici ASI , FMI., Storico Lancia, Italiano Fiat e Italiano Alfa Romeo. Inoltre, la Dichiarazione Sostitutiva di uso non professionale deve essere allegata 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1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Rimini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sono esclusi dall'agevolazione i veicoli destinati al trasporto di cose, ed i veicoli ad uso speciale e specifico, per i quali si presume sempre l'uso professionale, a meno che non siano iscritti nei registri storici ASI, Storico Lancia, Italiano Fiat e Italiano Alfa Romeo e che tale iscrizione sia presente sulla Carta di Circolazione/Documento Unico. </w:t>
      </w:r>
    </w:p>
    <w:p w:rsidR="00000000" w:rsidDel="00000000" w:rsidP="00000000" w:rsidRDefault="00000000" w:rsidRPr="00000000" w14:paraId="000001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Dichiarazione Sostitutiva di uso non professionale deve essere allegata 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1F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2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2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rsidR="00000000" w:rsidDel="00000000" w:rsidP="00000000" w:rsidRDefault="00000000" w:rsidRPr="00000000" w14:paraId="000002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le restanti categorie di veicoli, invece, si conferma che per il riconoscimento dell’agevolazione in parola è sufficiente la citata dichiarazione sostitutiva.</w:t>
      </w:r>
    </w:p>
    <w:p w:rsidR="00000000" w:rsidDel="00000000" w:rsidP="00000000" w:rsidRDefault="00000000" w:rsidRPr="00000000" w14:paraId="000002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l'agevolazione per veicoli trentennali può essere riconosciuta anche ad autocarri e motocarri a condizione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rsidR="00000000" w:rsidDel="00000000" w:rsidP="00000000" w:rsidRDefault="00000000" w:rsidRPr="00000000" w14:paraId="000002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richiede che nella Dichiarazione Sostitutiva di uso non professionale venga dichiarato anche che il veicolo viene utilizzato esclusivamente per uso proprio.  </w:t>
      </w:r>
    </w:p>
    <w:p w:rsidR="00000000" w:rsidDel="00000000" w:rsidP="00000000" w:rsidRDefault="00000000" w:rsidRPr="00000000" w14:paraId="000002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 </w:t>
      </w:r>
    </w:p>
    <w:p w:rsidR="00000000" w:rsidDel="00000000" w:rsidP="00000000" w:rsidRDefault="00000000" w:rsidRPr="00000000" w14:paraId="000002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stabilito che le agevolazioni previste per i veicoli ultratrentennali possono essere riconosciute, indipendentemente dalla classe del veicolo, a condizione che venga allegata la Dichiarazione Sostitutiva di uso non professionale e la copia della Carta di Circolazione/DU da cui risulti che il veicolo ha un uso proprio oppure che, contestualmente al trasferimento di proprietà, venga richiesto il cambio uso da uso di terzi a uso proprio. </w:t>
      </w:r>
    </w:p>
    <w:p w:rsidR="00000000" w:rsidDel="00000000" w:rsidP="00000000" w:rsidRDefault="00000000" w:rsidRPr="00000000" w14:paraId="000002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ha inoltre previsto che l’agevolazione può essere riconosciuta solo nel caso in cui la formalità sia a favore di una persona fisica.  La qualità di socio, amministratore o legale rappresentante di società o ente non osta al riconoscimento dell’agevolazione fiscale in oggetto.</w:t>
      </w:r>
    </w:p>
    <w:p w:rsidR="00000000" w:rsidDel="00000000" w:rsidP="00000000" w:rsidRDefault="00000000" w:rsidRPr="00000000" w14:paraId="000002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l'agevolazione in favore dei veicoli trentennali (e ultratrentennali) è riconosciuta solo allegando la dichiarazione sostitutiva, con la quale la parte dichiari l'utilizzo non professionale, indipendentemente dalla tipologia di veicolo. Qualora l'agevolazione sia richiesta per autocarri, motocarri, trattori stradali, veicolo trasporto specifico o uso speciale, oltre alla suddetta dichiarazione sostitutiva, dovrà essere allegata anche la copia della carta di circolazione/documento unico aggiornata/o, su cui risulta la specifica annotazione attestante che il veicolo è di interesse storico-collezionistico e che, pertanto, può essere utilizzato solo ai fini di collezionismo e non per trasporto e ai fini professionali. L'agevolazione non può comunque essere riconosciuta nel caso in cui la formalità venga richiesta a favore di una persona giuridica.</w:t>
      </w:r>
    </w:p>
    <w:p w:rsidR="00000000" w:rsidDel="00000000" w:rsidP="00000000" w:rsidRDefault="00000000" w:rsidRPr="00000000" w14:paraId="000002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bCs w:val="0"/>
          <w:i w:val="0"/>
          <w:iCs w:val="0"/>
          <w:smallCaps w:val="0"/>
          <w:strike w:val="0"/>
          <w:sz w:val="24"/>
          <w:szCs w:val="24"/>
          <w:u w:val="none"/>
          <w:shd w:fill="auto" w:val="clear"/>
          <w:vertAlign w:val="baseline"/>
          <w:rtl w:val="0"/>
        </w:rPr>
        <w:t xml:space="preserve">ha previsto che l’agevolazione in parola  può essere riconosciuta per veicoli trentennali (e ultratrentennali) ad uso non professionale solo se adibiti esclusivamente al trasporto persone ossia: autovetture, autocaravan, motocicli e motocarrozzette.</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0"/>
          <w:szCs w:val="1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ATTENZIONE:</w:t>
      </w:r>
      <w:r w:rsidDel="00000000" w:rsidR="00000000" w:rsidRPr="00000000">
        <w:rPr>
          <w:rFonts w:ascii="Comic Sans MS" w:cs="Comic Sans MS" w:eastAsia="Comic Sans MS" w:hAnsi="Comic Sans MS"/>
          <w:b w:val="0"/>
          <w:bCs w:val="0"/>
          <w:i w:val="0"/>
          <w:iCs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0"/>
          <w:szCs w:val="1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flag“V” presente nel campo esenzione sarà inibito.</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tale regola generale fa eccezione la Provincia autonoma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w:t>
      </w:r>
    </w:p>
    <w:p w:rsidR="00000000" w:rsidDel="00000000" w:rsidP="00000000" w:rsidRDefault="00000000" w:rsidRPr="00000000" w14:paraId="0000021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 conseguenza, solo per le formalità di competenza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sarà valorizzabile il flag “V” presente nel campo esenzione. Inoltre la Provincia ha confermato anche l’esenzione IPT per tutti i motocicli, anche nel caso in cui siano ultratrentennali o ultraventennali di interesse storico e collezionistico.</w:t>
      </w:r>
    </w:p>
    <w:p w:rsidR="00000000" w:rsidDel="00000000" w:rsidP="00000000" w:rsidRDefault="00000000" w:rsidRPr="00000000" w14:paraId="0000021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02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202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CONCESSIONARI – DITTE INDIVIDUALI CON TITOLARI DI NAZIONALITA’ EXTRA UE:</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rsidR="00000000" w:rsidDel="00000000" w:rsidP="00000000" w:rsidRDefault="00000000" w:rsidRPr="00000000" w14:paraId="000002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Alcune Province (evidenziate con la X nell’allegato file excel) hanno di contro stabilito che nel caso descritto, per poter accedere alle agevolazioni, sia sufficiente allegare copia del permesso di soggiorno scaduto, accompagnata dalla copia della ricevuta della richiesta di rinnovo, presentata entro il termine di scadenza del documento.</w:t>
      </w:r>
    </w:p>
    <w:p w:rsidR="00000000" w:rsidDel="00000000" w:rsidP="00000000" w:rsidRDefault="00000000" w:rsidRPr="00000000" w14:paraId="000002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Pistoia,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fronte di permesso di soggiorno scaduto con richiesta di rinnovo,  riconosce le agevolazioni in parola solo nel caso di permesso di soggiorno di lungo periodo. Negli altri casi l’agevolazione può essere riconosciuta solo se il permesso di soggiorno è in corso di validità.</w:t>
      </w:r>
    </w:p>
    <w:p w:rsidR="00000000" w:rsidDel="00000000" w:rsidP="00000000" w:rsidRDefault="00000000" w:rsidRPr="00000000" w14:paraId="000002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ALTRE CASISTICHE PARTICOLARI:</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riconosciuta anche nel caso in cui l’ultimo passaggio di proprietà (quindi quello su cui va corrisposta l’IPT) sia di competenza di un’altra Provincia.</w:t>
      </w:r>
    </w:p>
    <w:p w:rsidR="00000000" w:rsidDel="00000000" w:rsidP="00000000" w:rsidRDefault="00000000" w:rsidRPr="00000000" w14:paraId="0000022B">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sidDel="00000000" w:rsidR="00000000" w:rsidRPr="00000000">
        <w:rPr>
          <w:rFonts w:ascii="Comic Sans MS" w:cs="Comic Sans MS" w:eastAsia="Comic Sans MS" w:hAnsi="Comic Sans MS"/>
          <w:b w:val="1"/>
          <w:bCs w:val="1"/>
          <w:i w:val="0"/>
          <w:iCs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(sempre a far data dal 01 gennaio 2012),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01.01.2017),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decorrenza 01/01/2018),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Monza Brianza, Foggia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dall’11/03/2019),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25/11/2019),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01/01/2000), Le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cco, Nuoro, Pavia, Cremona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01/01/2020),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01/01/2021),</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Agrigento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01/01/2022)</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Como, Rieti, Rovigo, Vicenza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01/01/2023),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03/06/2023) ,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Chieti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10/11/2023),</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Ragusa e Savona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(dal 01/01/2025) e</w:t>
      </w:r>
      <w:r w:rsidDel="00000000" w:rsidR="00000000" w:rsidRPr="00000000">
        <w:rPr>
          <w:rFonts w:ascii="Comic Sans MS" w:cs="Comic Sans MS" w:eastAsia="Comic Sans MS" w:hAnsi="Comic Sans MS"/>
          <w:sz w:val="24"/>
          <w:szCs w:val="24"/>
          <w:highlight w:val="white"/>
          <w:rtl w:val="0"/>
        </w:rPr>
        <w:t xml:space="preserve"> </w:t>
      </w:r>
      <w:r w:rsidDel="00000000" w:rsidR="00000000" w:rsidRPr="00000000">
        <w:rPr>
          <w:rFonts w:ascii="Comic Sans MS" w:cs="Comic Sans MS" w:eastAsia="Comic Sans MS" w:hAnsi="Comic Sans MS"/>
          <w:b w:val="1"/>
          <w:bCs w:val="1"/>
          <w:color w:val="ff0000"/>
          <w:sz w:val="24"/>
          <w:szCs w:val="24"/>
          <w:highlight w:val="white"/>
          <w:rtl w:val="0"/>
        </w:rPr>
        <w:t xml:space="preserve">Terni</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che </w:t>
      </w:r>
      <w:r w:rsidDel="00000000" w:rsidR="00000000" w:rsidRPr="00000000">
        <w:rPr>
          <w:rFonts w:ascii="Comic Sans MS" w:cs="Comic Sans MS" w:eastAsia="Comic Sans MS" w:hAnsi="Comic Sans MS"/>
          <w:b w:val="0"/>
          <w:bCs w:val="0"/>
          <w:i w:val="0"/>
          <w:iCs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va pagata IPT in caso di acquisti di veicoli da parte della stessa Provincia; in tali casi, infatti, il soggetto attivo e passivo d’imposta coincidono. Per il corretto calcolo degli importi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 </w:t>
      </w:r>
    </w:p>
    <w:p w:rsidR="00000000" w:rsidDel="00000000" w:rsidP="00000000" w:rsidRDefault="00000000" w:rsidRPr="00000000" w14:paraId="000002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Perugia e Terni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previsto la corresponsione dell’IPT fissa per le vendite o le donazioni a favore di consanguinei entro il primo grado di parentela (gestione automatizzata tramite flag “V”).</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formalità relative a veicoli uso trasporto di cose per conto proprio richieste a favore di imprese esercenti attività di autotrasporto di cose in conto proprio. </w:t>
      </w:r>
    </w:p>
    <w:p w:rsidR="00000000" w:rsidDel="00000000" w:rsidP="00000000" w:rsidRDefault="00000000" w:rsidRPr="00000000" w14:paraId="000002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Peraltro, così come comunicato con nota 9266 del 07/07/2005, il Servizio “Politiche delle Entrate” della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precisato ad ACI che la concessione dell’agevolazione dell’IPT debba estendersi anche ai Trattori stradali destinati al traino di semirimorchi.</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L’Amministrazione Provinciale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p>
    <w:p w:rsidR="00000000" w:rsidDel="00000000" w:rsidP="00000000" w:rsidRDefault="00000000" w:rsidRPr="00000000" w14:paraId="000002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50" w:right="284"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di prima iscrizione al PRA di veicolo nuovo relative alle seguenti casistiche:</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veicoli uso locazione senza conducente richieste a favore di imprese esercenti i servizi di locazione veicoli senza conducente;</w:t>
      </w:r>
    </w:p>
    <w:p w:rsidR="00000000" w:rsidDel="00000000" w:rsidP="00000000" w:rsidRDefault="00000000" w:rsidRPr="00000000" w14:paraId="000002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p>
    <w:p w:rsidR="00000000" w:rsidDel="00000000" w:rsidP="00000000" w:rsidRDefault="00000000" w:rsidRPr="00000000" w14:paraId="000002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di cose per conto di terzi richieste a favore di imprese esercenti attività di autotrasporto di cose in conto terzi;</w:t>
      </w:r>
    </w:p>
    <w:p w:rsidR="00000000" w:rsidDel="00000000" w:rsidP="00000000" w:rsidRDefault="00000000" w:rsidRPr="00000000" w14:paraId="000002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6"/>
          <w:szCs w:val="26"/>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e) veicoli uso trasporto di cose per conto proprio richieste a favore di imprese </w:t>
      </w:r>
      <w:r w:rsidDel="00000000" w:rsidR="00000000" w:rsidRPr="00000000">
        <w:rPr>
          <w:rFonts w:ascii="Comic Sans MS" w:cs="Comic Sans MS" w:eastAsia="Comic Sans MS" w:hAnsi="Comic Sans MS"/>
          <w:b w:val="0"/>
          <w:bCs w:val="0"/>
          <w:i w:val="0"/>
          <w:iCs w:val="0"/>
          <w:smallCaps w:val="0"/>
          <w:strike w:val="0"/>
          <w:color w:val="000000"/>
          <w:sz w:val="26"/>
          <w:szCs w:val="26"/>
          <w:highlight w:val="white"/>
          <w:u w:val="none"/>
          <w:vertAlign w:val="baseline"/>
          <w:rtl w:val="0"/>
        </w:rPr>
        <w:t xml:space="preserve">(</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società o ditte individuali)</w:t>
      </w:r>
      <w:r w:rsidDel="00000000" w:rsidR="00000000" w:rsidRPr="00000000">
        <w:rPr>
          <w:rFonts w:ascii="Comic Sans MS" w:cs="Comic Sans MS" w:eastAsia="Comic Sans MS" w:hAnsi="Comic Sans MS"/>
          <w:b w:val="0"/>
          <w:bCs w:val="0"/>
          <w:i w:val="0"/>
          <w:iCs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2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ff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Anche 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nota n° 196800/56 del 22/11/2013 ha esteso la concessione dell’agevolazione IPT ai Trattori stradali destinati al traino di semirimorchi, ma, al pari delle altre casistiche, la misura agevolata dell’IPT si applica alle sole formalità di primo impianto.</w:t>
      </w:r>
    </w:p>
    <w:p w:rsidR="00000000" w:rsidDel="00000000" w:rsidP="00000000" w:rsidRDefault="00000000" w:rsidRPr="00000000" w14:paraId="000002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50" w:right="284" w:firstLine="0"/>
        <w:jc w:val="both"/>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le formalità relative a veicoli uso trasporto di cose richieste a favore di imprese iscritte in Camera di Commercio, che risultino attive e che utilizzino il veicolo per la propria attività di impresa. </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nota n° 385651 del 09/09/2014, ha precisato che la concessione dell’agevolazione IPT deve applicarsi anche ai Trattori stradali destinati al traino di semirimorchi.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p>
    <w:p w:rsidR="00000000" w:rsidDel="00000000" w:rsidP="00000000" w:rsidRDefault="00000000" w:rsidRPr="00000000" w14:paraId="000002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ff0000"/>
          <w:sz w:val="22"/>
          <w:szCs w:val="22"/>
          <w:highlight w:val="white"/>
          <w:u w:val="none"/>
          <w:vertAlign w:val="baseline"/>
        </w:rPr>
      </w:pPr>
      <w:hyperlink r:id="rId10">
        <w:r w:rsidDel="00000000" w:rsidR="00000000" w:rsidRPr="00000000">
          <w:rPr>
            <w:rFonts w:ascii="Comic Sans MS" w:cs="Comic Sans MS" w:eastAsia="Comic Sans MS" w:hAnsi="Comic Sans MS"/>
            <w:b w:val="0"/>
            <w:bCs w:val="0"/>
            <w:i w:val="0"/>
            <w:iCs w:val="0"/>
            <w:smallCaps w:val="0"/>
            <w:strike w:val="0"/>
            <w:color w:val="1155cc"/>
            <w:sz w:val="24"/>
            <w:szCs w:val="24"/>
            <w:u w:val="single"/>
            <w:shd w:fill="auto" w:val="clear"/>
            <w:vertAlign w:val="baseline"/>
            <w:rtl w:val="0"/>
          </w:rPr>
          <w:t xml:space="preserve">http://www.up.aci.it/firenze/IMG/pdf/Dichiarazione_sostitutiva_uso_professionale-3.pdf</w:t>
        </w:r>
      </w:hyperlink>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limitatamente alle formalità di prima iscrizione di veicolo nuovo, ha previsto</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l’applicazione della tariffa IPT di cui al D.M.435/98, comprensiva della percentuale di maggiorazione, nella misura del 75% per le formalità relative alle seguenti casistiche:</w:t>
      </w:r>
    </w:p>
    <w:p w:rsidR="00000000" w:rsidDel="00000000" w:rsidP="00000000" w:rsidRDefault="00000000" w:rsidRPr="00000000" w14:paraId="000002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servizio pubblico non di linea).</w:t>
      </w:r>
    </w:p>
    <w:p w:rsidR="00000000" w:rsidDel="00000000" w:rsidP="00000000" w:rsidRDefault="00000000" w:rsidRPr="00000000" w14:paraId="000002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2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 formalità relative a veicoli per trasporto specifico e a trattori stradali destinati al traino di semirimorchi.</w:t>
      </w:r>
    </w:p>
    <w:p w:rsidR="00000000" w:rsidDel="00000000" w:rsidP="00000000" w:rsidRDefault="00000000" w:rsidRPr="00000000" w14:paraId="000002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relative a:</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72"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veicoli uso locazione senza conducente a favore di imprese esercenti i servizi di locazione senza conducente;</w:t>
      </w:r>
    </w:p>
    <w:p w:rsidR="00000000" w:rsidDel="00000000" w:rsidP="00000000" w:rsidRDefault="00000000" w:rsidRPr="00000000" w14:paraId="000002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 w:right="27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far data dal 16/06/2014</w:t>
      </w:r>
      <w:r w:rsidDel="00000000" w:rsidR="00000000" w:rsidRPr="00000000">
        <w:rPr>
          <w:rFonts w:ascii="Comic Sans MS" w:cs="Comic Sans MS" w:eastAsia="Comic Sans MS" w:hAnsi="Comic Sans MS"/>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di applicare la tariffa base, senza maggiorazione, sui veicoli uso trasporto di cose (e trasporti specifici) e trattori stradali conto terzi a favore di imprese esercenti attività di autotrasporto di cose in conto terzi.</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Tali agevolazioni sono cumulabili con eventuali altre agevolazioni previste dalla Provincia stessa (vedasi veicoli eco-compatibili).</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p>
    <w:p w:rsidR="00000000" w:rsidDel="00000000" w:rsidP="00000000" w:rsidRDefault="00000000" w:rsidRPr="00000000" w14:paraId="000002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Reggio Emilia</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ha previsto, dal 01.01.2024, </w:t>
      </w:r>
      <w:r w:rsidDel="00000000" w:rsidR="00000000" w:rsidRPr="00000000">
        <w:rPr>
          <w:rFonts w:ascii="Times New Roman" w:cs="Times New Roman" w:eastAsia="Times New Roman" w:hAnsi="Times New Roman"/>
          <w:b w:val="0"/>
          <w:bCs w:val="0"/>
          <w:i w:val="0"/>
          <w:iCs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l’applicazione della tariffa IPT base di cui al D.M.435/98, quindi senza alcuna percentuale di maggiorazione, per le seguenti casistiche:</w:t>
      </w:r>
    </w:p>
    <w:p w:rsidR="00000000" w:rsidDel="00000000" w:rsidP="00000000" w:rsidRDefault="00000000" w:rsidRPr="00000000" w14:paraId="000002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b) 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a far data dal 1° gennaio 2012, l’applicazione della riduzione al 10% dell’IPT per le formalità rientranti nelle seguenti fattispecie:</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Veicoli sanitari e ambulanze acquistate da ASL e da altre Associazioni di pubblica assistenza diverse dalle Onlus;</w:t>
      </w:r>
    </w:p>
    <w:p w:rsidR="00000000" w:rsidDel="00000000" w:rsidP="00000000" w:rsidRDefault="00000000" w:rsidRPr="00000000" w14:paraId="0000027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Mezzi di trasporto pubblico acquistate dalle aziende di trasporto pubblico locale.</w:t>
      </w:r>
    </w:p>
    <w:p w:rsidR="00000000" w:rsidDel="00000000" w:rsidP="00000000" w:rsidRDefault="00000000" w:rsidRPr="00000000" w14:paraId="000002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importi selezionare il flag "C" nel campo disabile presente nella maschera degli importi delle procedure telematiche.</w:t>
      </w:r>
    </w:p>
    <w:p w:rsidR="00000000" w:rsidDel="00000000" w:rsidP="00000000" w:rsidRDefault="00000000" w:rsidRPr="00000000" w14:paraId="000002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a far data dal 24 aprile 2013 (data immatricolazione/data atto), la riduzione a 1/3 (cioè al 10%) della sanzione IRT in caso di formalità tardive per le quali non è più possibile accedere al ravvedimento operoso:</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con oltre 1 anno di tardività;</w:t>
      </w:r>
    </w:p>
    <w:p w:rsidR="00000000" w:rsidDel="00000000" w:rsidP="00000000" w:rsidRDefault="00000000" w:rsidRPr="00000000" w14:paraId="00000284">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richieste tardivamente, respinte per insufficienza importi, e successivamente ripresentate con le dovute integrazioni delle somme IRT.</w:t>
      </w:r>
    </w:p>
    <w:p w:rsidR="00000000" w:rsidDel="00000000" w:rsidP="00000000" w:rsidRDefault="00000000" w:rsidRPr="00000000" w14:paraId="000002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Inoltre, sempre la Regione Autonoma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Valle d’Aosta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La Regione ha specificato che l'agevolazione opera anche in caso di re-immatricolazione  (reiscrizione di veicoli usati e di nazionalizzazioni) di autovetture e autocarri immatricolati per la prima volta da almeno 5 anni. L’agevolazione può essere riconosciuta solo a fronte di cessioni. Inoltre, non può essere riconosciuta nel caso di “</w:t>
      </w: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veicoli di origine sconosciuta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per le sole pratiche di iscrizione veicoli usati e nazionalizzazione, selezionare il flag “V” nel campo disabile presente nella maschera degli importi delle procedure telematiche. Per tutte le altre pratiche di cessione, il controllo verrà effettuato automaticamente dalle procedure di calcolo importi, senza necessità di valorizzare alcun flag.</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Forlì-Cesena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Ravenna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hanno stabilito che sono esenti dal pagamento dell’IPT le formalità per la correzione dei dati anagrafici nei seguenti casi:</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Errata indicazione, a seguito di un mero errore materiale, dei dati anagrafici anche nel caso in cui i dati siano stati indicati erroneamente nel titolo allegato alla formalità, purché l’errore non ingeneri incertezza sull’identità del soggetto beneficiario;</w:t>
      </w:r>
    </w:p>
    <w:p w:rsidR="00000000" w:rsidDel="00000000" w:rsidP="00000000" w:rsidRDefault="00000000" w:rsidRPr="00000000" w14:paraId="0000028C">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nome e del cognome in seguito ad apposito decreto prefettizio;</w:t>
      </w:r>
    </w:p>
    <w:p w:rsidR="00000000" w:rsidDel="00000000" w:rsidP="00000000" w:rsidRDefault="00000000" w:rsidRPr="00000000" w14:paraId="0000028D">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Rettifica dello stato civile a seguito di decreto emesso dal tribunale;</w:t>
      </w:r>
    </w:p>
    <w:p w:rsidR="00000000" w:rsidDel="00000000" w:rsidP="00000000" w:rsidRDefault="00000000" w:rsidRPr="00000000" w14:paraId="0000028E">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cognome in seguito ad adozione;</w:t>
      </w:r>
    </w:p>
    <w:p w:rsidR="00000000" w:rsidDel="00000000" w:rsidP="00000000" w:rsidRDefault="00000000" w:rsidRPr="00000000" w14:paraId="0000028F">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Cambiamento del cognome di cittadini stranieri residenti in Italia in seguito a provvedimenti emessi nei paesi d’origine.</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che a fronte della trascrizione al PRA di istanze con richieste di agevolazione o esenzione fiscale, la produzione delle copie di documenti attestanti il possesso dei requisiti di legge( ad es copia attestazione ASI di iscrizione del veicolo al registro storico, copia del certificato della commissione medica ecc), prevista dal regolamento IPT può essere effettuata mediante la consegna di fotocopie rese autentiche sulla base delle vigenti disposizioni normative.</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Allo scopo di agevolare l’operatività degli STA , si chiarisce che, sulla base di quanto previsto dal DPR 445/00, la conformità all'originale può essere dichiarata attraverso una delle modalità di seguito esposte:</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esibizione dell'originale al pubblico ufficiale e conformità sulla copia dichiarata dallo stesso</w:t>
      </w:r>
    </w:p>
    <w:p w:rsidR="00000000" w:rsidDel="00000000" w:rsidP="00000000" w:rsidRDefault="00000000" w:rsidRPr="00000000" w14:paraId="00000296">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rilascio copia conforme all'originale da parte del soggetto che conserva l'originale</w:t>
      </w:r>
    </w:p>
    <w:p w:rsidR="00000000" w:rsidDel="00000000" w:rsidP="00000000" w:rsidRDefault="00000000" w:rsidRPr="00000000" w14:paraId="00000297">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DS di atto notorio.</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36"/>
          <w:szCs w:val="36"/>
          <w:u w:val="singl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Dal 2008 alcune Amministrazioni Provinciali hanno adottato il nuovo schema di regolamento IPT che prevede, oltre a numerose agevolazioni già descritte nella presente scheda, anche le seguenti innovazioni:</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Trasferimento di proprietà a tutela del venditore: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 il venditore rimasto intestatario al PRA, può richiedere la trascrizione del trasferimento anche senza presentazione del certificato di proprietà e senza versamento dell’IPT.</w:t>
      </w:r>
    </w:p>
    <w:p w:rsidR="00000000" w:rsidDel="00000000" w:rsidP="00000000" w:rsidRDefault="00000000" w:rsidRPr="00000000" w14:paraId="000002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recupero dell’imposta nei confronti del soggetto acquirente verrà effettuato direttamente dalla Provincia.</w:t>
      </w:r>
    </w:p>
    <w:p w:rsidR="00000000" w:rsidDel="00000000" w:rsidP="00000000" w:rsidRDefault="00000000" w:rsidRPr="00000000" w14:paraId="000002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nel caso di formalità di competenza delle Province che hanno adottato il nuovo Regolamento IPT, dovranno essere valorizzati:</w:t>
      </w:r>
    </w:p>
    <w:p w:rsidR="00000000" w:rsidDel="00000000" w:rsidP="00000000" w:rsidRDefault="00000000" w:rsidRPr="00000000" w14:paraId="000002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Atto pubblico</w:t>
      </w:r>
    </w:p>
    <w:p w:rsidR="00000000" w:rsidDel="00000000" w:rsidP="00000000" w:rsidRDefault="00000000" w:rsidRPr="00000000" w14:paraId="000002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TB:</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 Scrittura privata</w:t>
      </w:r>
    </w:p>
    <w:p w:rsidR="00000000" w:rsidDel="00000000" w:rsidP="00000000" w:rsidRDefault="00000000" w:rsidRPr="00000000" w14:paraId="000002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Tutela del venditore - Sentenza Giudiziaria</w:t>
      </w:r>
    </w:p>
    <w:p w:rsidR="00000000" w:rsidDel="00000000" w:rsidP="00000000" w:rsidRDefault="00000000" w:rsidRPr="00000000" w14:paraId="000002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TD:</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Tutela del venditore – Atto Amministrativo</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campo “agevolazione disabile” presente nella maschera degli importi il flag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“W”. </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Alessandria, Arezzo, Oristano, Pisa, Rovigo, Torino e Verbano Cusio Ossola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hanno subordinato il beneficio alla condizione che il venditore, rimasto intestatario al PRA, alleghi al trasferimento di proprietà copia del documento d’identità o di riconoscimento del soggetto acquirente. </w:t>
      </w:r>
    </w:p>
    <w:p w:rsidR="00000000" w:rsidDel="00000000" w:rsidP="00000000" w:rsidRDefault="00000000" w:rsidRPr="00000000" w14:paraId="000002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Tutte le sopra citate Province, hanno previsto in alternativa una dichiarazione sostitutiva di certificazione avente ad oggetto i dati anagrafici dell’acquirente.</w:t>
      </w:r>
    </w:p>
    <w:p w:rsidR="00000000" w:rsidDel="00000000" w:rsidP="00000000" w:rsidRDefault="00000000" w:rsidRPr="00000000" w14:paraId="000002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inoltre,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p>
    <w:p w:rsidR="00000000" w:rsidDel="00000000" w:rsidP="00000000" w:rsidRDefault="00000000" w:rsidRPr="00000000" w14:paraId="000002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Lucca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precisato</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che il venditore, rimasto intestatario al PRA,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può richiedere la registrazione del trasferimento di proprietà senza versamento dell’IPT a condizione che alleghi una copia dell’atto di vendita non trascritto o una dichiarazione del soggetto autenticante dell’avvenuta autentica o redazione dell’atto. </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ha previsto nel caso in cui il soggetto rimasto intestatario al PRA richieda la trascrizione di un atto relativo a una compravendita perfezionatasi 10 o più anni prima, sono dovuti solo l’IRT e gli interessi moratori e non la (eventuale) sanzione.</w:t>
      </w:r>
    </w:p>
    <w:p w:rsidR="00000000" w:rsidDel="00000000" w:rsidP="00000000" w:rsidRDefault="00000000" w:rsidRPr="00000000" w14:paraId="000002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p>
    <w:p w:rsidR="00000000" w:rsidDel="00000000" w:rsidP="00000000" w:rsidRDefault="00000000" w:rsidRPr="00000000" w14:paraId="000002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ha previsto l’applicazione dell’IPT in misura fissa pari ad euro 196,00 (indipendentemente dai KW dell’auto), a fronte di trasferimento di proprietà a tutela del venditore, a condizione che venga allegata al fascicolo una copia dell’atto di vendita non trascritto o una dichiarazione del soggetto autenticante dell’avvenuta autentica a redazione dell’atto.</w:t>
      </w:r>
    </w:p>
    <w:p w:rsidR="00000000" w:rsidDel="00000000" w:rsidP="00000000" w:rsidRDefault="00000000" w:rsidRPr="00000000" w14:paraId="000002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 il corretto calcolo degli importi, nel caso di formalità di competenza delle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Macerata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dovranno essere valorizzati:</w:t>
      </w:r>
    </w:p>
    <w:p w:rsidR="00000000" w:rsidDel="00000000" w:rsidP="00000000" w:rsidRDefault="00000000" w:rsidRPr="00000000" w14:paraId="000002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TA: Tutela del venditore- Atto pubblico</w:t>
      </w:r>
    </w:p>
    <w:p w:rsidR="00000000" w:rsidDel="00000000" w:rsidP="00000000" w:rsidRDefault="00000000" w:rsidRPr="00000000" w14:paraId="000002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TB: Tutela del venditore - Scrittura privata</w:t>
      </w:r>
    </w:p>
    <w:p w:rsidR="00000000" w:rsidDel="00000000" w:rsidP="00000000" w:rsidRDefault="00000000" w:rsidRPr="00000000" w14:paraId="000002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TC: Tutela del venditore.- Sentenza Giudiziaria</w:t>
      </w:r>
    </w:p>
    <w:p w:rsidR="00000000" w:rsidDel="00000000" w:rsidP="00000000" w:rsidRDefault="00000000" w:rsidRPr="00000000" w14:paraId="000002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TD: Tutela del venditore – Atto Amministrativo</w:t>
      </w: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campo “agevolazione disabile” presente nella maschera degli importi il flag “V”.</w:t>
      </w:r>
    </w:p>
    <w:p w:rsidR="00000000" w:rsidDel="00000000" w:rsidP="00000000" w:rsidRDefault="00000000" w:rsidRPr="00000000" w14:paraId="000002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Trasferimento di proprietà ex art.2688 c.c.: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 nel caso in cui il secondo soggetto acquirente abbia i requisiti per godere dell’esenzione IPT, debba comunque essere versata l’IPT (pari al valore ordinario della relativa tariffa) relativa alla mancata trascrizione del trasferimento a favore del primo soggetto acquirente (venditore non intestatario al PRA).</w:t>
      </w: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 </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Modico valore: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determina il modico valore, ossia il valore al di sotto del quale non si procede a rimborsi o recuperi;</w:t>
      </w: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Gestione formalità respinte: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il nuovo Regolamento IPT prevede che</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w:t>
      </w:r>
    </w:p>
    <w:p w:rsidR="00000000" w:rsidDel="00000000" w:rsidP="00000000" w:rsidRDefault="00000000" w:rsidRPr="00000000" w14:paraId="000002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altri termini ciò significa che pure nel caso in cui in prima istanza sia stato versato un importo IPT uguale o superiore all’IPT base ma inferiore a quanto dovuto, trascorsi i termini di tardività, è necessario corrispondere sanzioni e interessi moratori.</w:t>
      </w:r>
    </w:p>
    <w:p w:rsidR="00000000" w:rsidDel="00000000" w:rsidP="00000000" w:rsidRDefault="00000000" w:rsidRPr="00000000" w14:paraId="000002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 opportuno ricordare che, secondo i principi generali dell’istituto del ravvedimento operoso, a fronte di formalità respinta per importi insufficienti non è possibile invocare la riduzione della sanzione, prevista dal ravvedimento, nelle successive presentazioni.</w:t>
      </w:r>
    </w:p>
    <w:p w:rsidR="00000000" w:rsidDel="00000000" w:rsidP="00000000" w:rsidRDefault="00000000" w:rsidRPr="00000000" w14:paraId="000002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Rimborso IPT: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con delibera</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n.2185 del 07/12/2016 ha stabilito che il limite temporale per richiedere il rimborso dell’IPT è ridotto a 3 anni dalla data di versamento dell’imposta.</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00" w:before="0" w:line="276"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sectPr>
      <w:headerReference r:id="rId11" w:type="default"/>
      <w:headerReference r:id="rId12" w:type="first"/>
      <w:headerReference r:id="rId13" w:type="even"/>
      <w:footerReference r:id="rId14" w:type="default"/>
      <w:footerReference r:id="rId15" w:type="first"/>
      <w:footerReference r:id="rId16" w:type="even"/>
      <w:type w:val="nextPage"/>
      <w:pgSz w:h="11906" w:w="16838" w:orient="landscape"/>
      <w:pgMar w:bottom="776" w:top="709" w:left="850"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mic Sans MS"/>
  <w:font w:name="Calibri"/>
  <w:font w:name="Arial"/>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hanging="1"/>
      </w:pPr>
      <w:rPr>
        <w:rFonts w:ascii="Noto Sans Symbols" w:cs="Noto Sans Symbols" w:eastAsia="Noto Sans Symbols" w:hAnsi="Noto Sans Symbols"/>
        <w:color w:val="00000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2.%3."/>
      <w:lvlJc w:val="left"/>
      <w:pPr>
        <w:ind w:left="1440" w:hanging="360"/>
      </w:pPr>
      <w:rPr>
        <w:sz w:val="20"/>
        <w:szCs w:val="20"/>
        <w:vertAlign w:val="baseline"/>
      </w:rPr>
    </w:lvl>
    <w:lvl w:ilvl="3">
      <w:start w:val="1"/>
      <w:numFmt w:val="decimal"/>
      <w:lvlText w:val="●.%2.%3.%4."/>
      <w:lvlJc w:val="left"/>
      <w:pPr>
        <w:ind w:left="1800" w:hanging="360"/>
      </w:pPr>
      <w:rPr>
        <w:sz w:val="20"/>
        <w:szCs w:val="20"/>
        <w:vertAlign w:val="baseline"/>
      </w:rPr>
    </w:lvl>
    <w:lvl w:ilvl="4">
      <w:start w:val="1"/>
      <w:numFmt w:val="decimal"/>
      <w:lvlText w:val="●.%2.%3.%4.%5."/>
      <w:lvlJc w:val="left"/>
      <w:pPr>
        <w:ind w:left="2160" w:hanging="360"/>
      </w:pPr>
      <w:rPr>
        <w:sz w:val="20"/>
        <w:szCs w:val="20"/>
        <w:vertAlign w:val="baseline"/>
      </w:rPr>
    </w:lvl>
    <w:lvl w:ilvl="5">
      <w:start w:val="1"/>
      <w:numFmt w:val="decimal"/>
      <w:lvlText w:val="●.%2.%3.%4.%5.%6."/>
      <w:lvlJc w:val="left"/>
      <w:pPr>
        <w:ind w:left="2520" w:hanging="360"/>
      </w:pPr>
      <w:rPr>
        <w:sz w:val="20"/>
        <w:szCs w:val="20"/>
        <w:vertAlign w:val="baseline"/>
      </w:rPr>
    </w:lvl>
    <w:lvl w:ilvl="6">
      <w:start w:val="1"/>
      <w:numFmt w:val="decimal"/>
      <w:lvlText w:val="●.%2.%3.%4.%5.%6.%7."/>
      <w:lvlJc w:val="left"/>
      <w:pPr>
        <w:ind w:left="2880" w:hanging="360"/>
      </w:pPr>
      <w:rPr>
        <w:sz w:val="20"/>
        <w:szCs w:val="20"/>
        <w:vertAlign w:val="baseline"/>
      </w:rPr>
    </w:lvl>
    <w:lvl w:ilvl="7">
      <w:start w:val="1"/>
      <w:numFmt w:val="decimal"/>
      <w:lvlText w:val="●.%2.%3.%4.%5.%6.%7.%8."/>
      <w:lvlJc w:val="left"/>
      <w:pPr>
        <w:ind w:left="3240" w:hanging="360"/>
      </w:pPr>
      <w:rPr>
        <w:sz w:val="20"/>
        <w:szCs w:val="20"/>
        <w:vertAlign w:val="baseline"/>
      </w:rPr>
    </w:lvl>
    <w:lvl w:ilvl="8">
      <w:start w:val="1"/>
      <w:numFmt w:val="decimal"/>
      <w:lvlText w:val="●.%2.%3.%4.%5.%6.%7.%8.%9."/>
      <w:lvlJc w:val="left"/>
      <w:pPr>
        <w:ind w:left="3600" w:hanging="360"/>
      </w:pPr>
      <w:rPr>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Noto Sans Symbols" w:cs="Noto Sans Symbols" w:eastAsia="Noto Sans Symbols" w:hAnsi="Noto Sans Symbols"/>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Noto Sans Symbols" w:cs="Noto Sans Symbols" w:eastAsia="Noto Sans Symbols" w:hAnsi="Noto Sans Symbols"/>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Noto Sans Symbols" w:cs="Noto Sans Symbols" w:eastAsia="Noto Sans Symbols" w:hAnsi="Noto Sans Symbols"/>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4">
    <w:lvl w:ilvl="0">
      <w:start w:val="1"/>
      <w:numFmt w:val="bullet"/>
      <w:lvlText w:val="●"/>
      <w:lvlJc w:val="left"/>
      <w:pPr>
        <w:ind w:left="2138"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858" w:hanging="360"/>
      </w:pPr>
      <w:rPr>
        <w:rFonts w:ascii="Noto Sans Symbols" w:cs="Noto Sans Symbols" w:eastAsia="Noto Sans Symbols" w:hAnsi="Noto Sans Symbols"/>
        <w:sz w:val="24"/>
        <w:szCs w:val="24"/>
        <w:vertAlign w:val="baseline"/>
      </w:rPr>
    </w:lvl>
    <w:lvl w:ilvl="2">
      <w:start w:val="1"/>
      <w:numFmt w:val="bullet"/>
      <w:lvlText w:val="▪"/>
      <w:lvlJc w:val="left"/>
      <w:pPr>
        <w:ind w:left="3578"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298"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018" w:hanging="360"/>
      </w:pPr>
      <w:rPr>
        <w:rFonts w:ascii="Noto Sans Symbols" w:cs="Noto Sans Symbols" w:eastAsia="Noto Sans Symbols" w:hAnsi="Noto Sans Symbols"/>
        <w:sz w:val="24"/>
        <w:szCs w:val="24"/>
        <w:vertAlign w:val="baseline"/>
      </w:rPr>
    </w:lvl>
    <w:lvl w:ilvl="5">
      <w:start w:val="1"/>
      <w:numFmt w:val="bullet"/>
      <w:lvlText w:val="▪"/>
      <w:lvlJc w:val="left"/>
      <w:pPr>
        <w:ind w:left="5738"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458"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178" w:hanging="360"/>
      </w:pPr>
      <w:rPr>
        <w:rFonts w:ascii="Noto Sans Symbols" w:cs="Noto Sans Symbols" w:eastAsia="Noto Sans Symbols" w:hAnsi="Noto Sans Symbols"/>
        <w:sz w:val="24"/>
        <w:szCs w:val="24"/>
        <w:vertAlign w:val="baseline"/>
      </w:rPr>
    </w:lvl>
    <w:lvl w:ilvl="8">
      <w:start w:val="1"/>
      <w:numFmt w:val="bullet"/>
      <w:lvlText w:val="▪"/>
      <w:lvlJc w:val="left"/>
      <w:pPr>
        <w:ind w:left="7898" w:hanging="360"/>
      </w:pPr>
      <w:rPr>
        <w:rFonts w:ascii="Noto Sans Symbols" w:cs="Noto Sans Symbols" w:eastAsia="Noto Sans Symbols" w:hAnsi="Noto Sans Symbols"/>
        <w:color w:val="000000"/>
        <w:sz w:val="24"/>
        <w:szCs w:val="24"/>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7">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1.%2.%3."/>
      <w:lvlJc w:val="right"/>
      <w:pPr>
        <w:ind w:left="2444" w:hanging="180"/>
      </w:pPr>
      <w:rPr>
        <w:sz w:val="24"/>
        <w:szCs w:val="24"/>
        <w:vertAlign w:val="baseline"/>
      </w:rPr>
    </w:lvl>
    <w:lvl w:ilvl="3">
      <w:start w:val="1"/>
      <w:numFmt w:val="decimal"/>
      <w:lvlText w:val="%1.%2.%3.%4."/>
      <w:lvlJc w:val="left"/>
      <w:pPr>
        <w:ind w:left="3164" w:hanging="360"/>
      </w:pPr>
      <w:rPr>
        <w:sz w:val="24"/>
        <w:szCs w:val="24"/>
        <w:vertAlign w:val="baseline"/>
      </w:rPr>
    </w:lvl>
    <w:lvl w:ilvl="4">
      <w:start w:val="1"/>
      <w:numFmt w:val="lowerLetter"/>
      <w:lvlText w:val="%1.%2.%3.%4.%5."/>
      <w:lvlJc w:val="left"/>
      <w:pPr>
        <w:ind w:left="3884" w:hanging="360"/>
      </w:pPr>
      <w:rPr>
        <w:sz w:val="24"/>
        <w:szCs w:val="24"/>
        <w:vertAlign w:val="baseline"/>
      </w:rPr>
    </w:lvl>
    <w:lvl w:ilvl="5">
      <w:start w:val="1"/>
      <w:numFmt w:val="lowerRoman"/>
      <w:lvlText w:val="%1.%2.%3.%4.%5.%6."/>
      <w:lvlJc w:val="right"/>
      <w:pPr>
        <w:ind w:left="4604" w:hanging="180"/>
      </w:pPr>
      <w:rPr>
        <w:sz w:val="24"/>
        <w:szCs w:val="24"/>
        <w:vertAlign w:val="baseline"/>
      </w:rPr>
    </w:lvl>
    <w:lvl w:ilvl="6">
      <w:start w:val="1"/>
      <w:numFmt w:val="decimal"/>
      <w:lvlText w:val="%1.%2.%3.%4.%5.%6.%7."/>
      <w:lvlJc w:val="left"/>
      <w:pPr>
        <w:ind w:left="5324" w:hanging="360"/>
      </w:pPr>
      <w:rPr>
        <w:sz w:val="24"/>
        <w:szCs w:val="24"/>
        <w:vertAlign w:val="baseline"/>
      </w:rPr>
    </w:lvl>
    <w:lvl w:ilvl="7">
      <w:start w:val="1"/>
      <w:numFmt w:val="lowerLetter"/>
      <w:lvlText w:val="%1.%2.%3.%4.%5.%6.%7.%8."/>
      <w:lvlJc w:val="left"/>
      <w:pPr>
        <w:ind w:left="6044" w:hanging="360"/>
      </w:pPr>
      <w:rPr>
        <w:sz w:val="24"/>
        <w:szCs w:val="24"/>
        <w:vertAlign w:val="baseline"/>
      </w:rPr>
    </w:lvl>
    <w:lvl w:ilvl="8">
      <w:start w:val="1"/>
      <w:numFmt w:val="lowerRoman"/>
      <w:lvlText w:val="%1.%2.%3.%4.%5.%6.%7.%8.%9."/>
      <w:lvlJc w:val="right"/>
      <w:pPr>
        <w:ind w:left="6764" w:hanging="180"/>
      </w:pPr>
      <w:rPr>
        <w:sz w:val="24"/>
        <w:szCs w:val="24"/>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1">
    <w:lvl w:ilvl="0">
      <w:start w:val="1"/>
      <w:numFmt w:val="bullet"/>
      <w:lvlText w:val="●"/>
      <w:lvlJc w:val="left"/>
      <w:pPr>
        <w:ind w:left="108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800" w:hanging="360"/>
      </w:pPr>
      <w:rPr>
        <w:rFonts w:ascii="Noto Sans Symbols" w:cs="Noto Sans Symbols" w:eastAsia="Noto Sans Symbols" w:hAnsi="Noto Sans Symbols"/>
        <w:sz w:val="24"/>
        <w:szCs w:val="24"/>
        <w:vertAlign w:val="baseline"/>
      </w:rPr>
    </w:lvl>
    <w:lvl w:ilvl="2">
      <w:start w:val="1"/>
      <w:numFmt w:val="bullet"/>
      <w:lvlText w:val="▪"/>
      <w:lvlJc w:val="left"/>
      <w:pPr>
        <w:ind w:left="252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960" w:hanging="360"/>
      </w:pPr>
      <w:rPr>
        <w:rFonts w:ascii="Noto Sans Symbols" w:cs="Noto Sans Symbols" w:eastAsia="Noto Sans Symbols" w:hAnsi="Noto Sans Symbols"/>
        <w:sz w:val="24"/>
        <w:szCs w:val="24"/>
        <w:vertAlign w:val="baseline"/>
      </w:rPr>
    </w:lvl>
    <w:lvl w:ilvl="5">
      <w:start w:val="1"/>
      <w:numFmt w:val="bullet"/>
      <w:lvlText w:val="▪"/>
      <w:lvlJc w:val="left"/>
      <w:pPr>
        <w:ind w:left="468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40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120" w:hanging="360"/>
      </w:pPr>
      <w:rPr>
        <w:rFonts w:ascii="Noto Sans Symbols" w:cs="Noto Sans Symbols" w:eastAsia="Noto Sans Symbols" w:hAnsi="Noto Sans Symbols"/>
        <w:sz w:val="24"/>
        <w:szCs w:val="24"/>
        <w:vertAlign w:val="baseline"/>
      </w:rPr>
    </w:lvl>
    <w:lvl w:ilvl="8">
      <w:start w:val="1"/>
      <w:numFmt w:val="bullet"/>
      <w:lvlText w:val="▪"/>
      <w:lvlJc w:val="left"/>
      <w:pPr>
        <w:ind w:left="6840" w:hanging="360"/>
      </w:pPr>
      <w:rPr>
        <w:rFonts w:ascii="Noto Sans Symbols" w:cs="Noto Sans Symbols" w:eastAsia="Noto Sans Symbols" w:hAnsi="Noto Sans Symbols"/>
        <w:color w:val="000000"/>
        <w:sz w:val="24"/>
        <w:szCs w:val="24"/>
        <w:vertAlign w:val="baseline"/>
      </w:rPr>
    </w:lvl>
  </w:abstractNum>
  <w:abstractNum w:abstractNumId="12">
    <w:lvl w:ilvl="0">
      <w:start w:val="1"/>
      <w:numFmt w:val="decimal"/>
      <w:lvlText w:val="%1."/>
      <w:lvlJc w:val="left"/>
      <w:pPr>
        <w:ind w:left="720" w:hanging="360"/>
      </w:pPr>
      <w:rPr>
        <w:rFonts w:ascii="Comic Sans MS" w:cs="Comic Sans MS" w:eastAsia="Comic Sans MS" w:hAnsi="Comic Sans MS"/>
        <w:smallCaps w:val="0"/>
        <w:strike w:val="0"/>
        <w:color w:val="000000"/>
        <w:sz w:val="24"/>
        <w:szCs w:val="24"/>
        <w:vertAlign w:val="baseline"/>
      </w:rPr>
    </w:lvl>
    <w:lvl w:ilvl="1">
      <w:start w:val="1"/>
      <w:numFmt w:val="decimal"/>
      <w:lvlText w:val="%2."/>
      <w:lvlJc w:val="left"/>
      <w:pPr>
        <w:ind w:left="1440" w:hanging="360"/>
      </w:pPr>
      <w:rPr>
        <w:rFonts w:ascii="Comic Sans MS" w:cs="Comic Sans MS" w:eastAsia="Comic Sans MS" w:hAnsi="Comic Sans MS"/>
        <w:smallCaps w:val="0"/>
        <w:strike w:val="0"/>
        <w:color w:val="000000"/>
        <w:sz w:val="24"/>
        <w:szCs w:val="24"/>
        <w:vertAlign w:val="baseline"/>
      </w:rPr>
    </w:lvl>
    <w:lvl w:ilvl="2">
      <w:start w:val="1"/>
      <w:numFmt w:val="decimal"/>
      <w:lvlText w:val="%1.%2.%3."/>
      <w:lvlJc w:val="left"/>
      <w:pPr>
        <w:ind w:left="2160" w:hanging="360"/>
      </w:pPr>
      <w:rPr>
        <w:rFonts w:ascii="Comic Sans MS" w:cs="Comic Sans MS" w:eastAsia="Comic Sans MS" w:hAnsi="Comic Sans MS"/>
        <w:smallCaps w:val="0"/>
        <w:strike w:val="0"/>
        <w:color w:val="000000"/>
        <w:sz w:val="24"/>
        <w:szCs w:val="24"/>
        <w:vertAlign w:val="baseline"/>
      </w:rPr>
    </w:lvl>
    <w:lvl w:ilvl="3">
      <w:start w:val="1"/>
      <w:numFmt w:val="decimal"/>
      <w:lvlText w:val="%1.%2.%3.%4."/>
      <w:lvlJc w:val="left"/>
      <w:pPr>
        <w:ind w:left="2880" w:hanging="360"/>
      </w:pPr>
      <w:rPr>
        <w:rFonts w:ascii="Comic Sans MS" w:cs="Comic Sans MS" w:eastAsia="Comic Sans MS" w:hAnsi="Comic Sans MS"/>
        <w:smallCaps w:val="0"/>
        <w:strike w:val="0"/>
        <w:color w:val="000000"/>
        <w:sz w:val="24"/>
        <w:szCs w:val="24"/>
        <w:vertAlign w:val="baseline"/>
      </w:rPr>
    </w:lvl>
    <w:lvl w:ilvl="4">
      <w:start w:val="1"/>
      <w:numFmt w:val="decimal"/>
      <w:lvlText w:val="%1.%2.%3.%4.%5."/>
      <w:lvlJc w:val="left"/>
      <w:pPr>
        <w:ind w:left="3600" w:hanging="360"/>
      </w:pPr>
      <w:rPr>
        <w:rFonts w:ascii="Comic Sans MS" w:cs="Comic Sans MS" w:eastAsia="Comic Sans MS" w:hAnsi="Comic Sans MS"/>
        <w:smallCaps w:val="0"/>
        <w:strike w:val="0"/>
        <w:color w:val="000000"/>
        <w:sz w:val="24"/>
        <w:szCs w:val="24"/>
        <w:vertAlign w:val="baseline"/>
      </w:rPr>
    </w:lvl>
    <w:lvl w:ilvl="5">
      <w:start w:val="1"/>
      <w:numFmt w:val="decimal"/>
      <w:lvlText w:val="%1.%2.%3.%4.%5.%6."/>
      <w:lvlJc w:val="left"/>
      <w:pPr>
        <w:ind w:left="4320" w:hanging="360"/>
      </w:pPr>
      <w:rPr>
        <w:rFonts w:ascii="Comic Sans MS" w:cs="Comic Sans MS" w:eastAsia="Comic Sans MS" w:hAnsi="Comic Sans MS"/>
        <w:smallCaps w:val="0"/>
        <w:strike w:val="0"/>
        <w:color w:val="000000"/>
        <w:sz w:val="24"/>
        <w:szCs w:val="24"/>
        <w:vertAlign w:val="baseline"/>
      </w:rPr>
    </w:lvl>
    <w:lvl w:ilvl="6">
      <w:start w:val="1"/>
      <w:numFmt w:val="decimal"/>
      <w:lvlText w:val="%1.%2.%3.%4.%5.%6.%7."/>
      <w:lvlJc w:val="left"/>
      <w:pPr>
        <w:ind w:left="5040" w:hanging="360"/>
      </w:pPr>
      <w:rPr>
        <w:rFonts w:ascii="Comic Sans MS" w:cs="Comic Sans MS" w:eastAsia="Comic Sans MS" w:hAnsi="Comic Sans MS"/>
        <w:smallCaps w:val="0"/>
        <w:strike w:val="0"/>
        <w:color w:val="000000"/>
        <w:sz w:val="24"/>
        <w:szCs w:val="24"/>
        <w:vertAlign w:val="baseline"/>
      </w:rPr>
    </w:lvl>
    <w:lvl w:ilvl="7">
      <w:start w:val="1"/>
      <w:numFmt w:val="decimal"/>
      <w:lvlText w:val="%1.%2.%3.%4.%5.%6.%7.%8."/>
      <w:lvlJc w:val="left"/>
      <w:pPr>
        <w:ind w:left="5760" w:hanging="360"/>
      </w:pPr>
      <w:rPr>
        <w:rFonts w:ascii="Comic Sans MS" w:cs="Comic Sans MS" w:eastAsia="Comic Sans MS" w:hAnsi="Comic Sans MS"/>
        <w:smallCaps w:val="0"/>
        <w:strike w:val="0"/>
        <w:color w:val="000000"/>
        <w:sz w:val="24"/>
        <w:szCs w:val="24"/>
        <w:vertAlign w:val="baseline"/>
      </w:rPr>
    </w:lvl>
    <w:lvl w:ilvl="8">
      <w:start w:val="1"/>
      <w:numFmt w:val="decimal"/>
      <w:lvlText w:val="%1.%2.%3.%4.%5.%6.%7.%8.%9."/>
      <w:lvlJc w:val="left"/>
      <w:pPr>
        <w:ind w:left="6480" w:hanging="360"/>
      </w:pPr>
      <w:rPr>
        <w:rFonts w:ascii="Comic Sans MS" w:cs="Comic Sans MS" w:eastAsia="Comic Sans MS" w:hAnsi="Comic Sans MS"/>
        <w:smallCaps w:val="0"/>
        <w:strike w:val="0"/>
        <w:color w:val="000000"/>
        <w:sz w:val="24"/>
        <w:szCs w:val="24"/>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lowerLetter"/>
      <w:lvlText w:val="%2)"/>
      <w:lvlJc w:val="left"/>
      <w:pPr>
        <w:ind w:left="928" w:hanging="360"/>
      </w:pPr>
      <w:rPr>
        <w:rFonts w:ascii="Comic Sans MS" w:cs="Comic Sans MS" w:eastAsia="Comic Sans MS" w:hAnsi="Comic Sans MS"/>
        <w:smallCaps w:val="0"/>
        <w:strike w:val="0"/>
        <w:color w:val="00000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Times New Roman" w:cs="Times New Roman" w:eastAsia="Times New Roman" w:hAnsi="Times New Roman"/>
        <w:sz w:val="24"/>
        <w:szCs w:val="24"/>
        <w:u w:val="none"/>
        <w:vertAlign w:val="baseline"/>
      </w:rPr>
    </w:lvl>
    <w:lvl w:ilvl="1">
      <w:start w:val="1"/>
      <w:numFmt w:val="bullet"/>
      <w:lvlText w:val="○"/>
      <w:lvlJc w:val="left"/>
      <w:pPr>
        <w:ind w:left="1440" w:hanging="360"/>
      </w:pPr>
      <w:rPr>
        <w:rFonts w:ascii="Times New Roman" w:cs="Times New Roman" w:eastAsia="Times New Roman" w:hAnsi="Times New Roman"/>
        <w:sz w:val="24"/>
        <w:szCs w:val="24"/>
        <w:u w:val="none"/>
        <w:vertAlign w:val="baseline"/>
      </w:rPr>
    </w:lvl>
    <w:lvl w:ilvl="2">
      <w:start w:val="1"/>
      <w:numFmt w:val="bullet"/>
      <w:lvlText w:val="■"/>
      <w:lvlJc w:val="left"/>
      <w:pPr>
        <w:ind w:left="2160" w:hanging="360"/>
      </w:pPr>
      <w:rPr>
        <w:rFonts w:ascii="Times New Roman" w:cs="Times New Roman" w:eastAsia="Times New Roman" w:hAnsi="Times New Roman"/>
        <w:sz w:val="24"/>
        <w:szCs w:val="24"/>
        <w:u w:val="none"/>
        <w:vertAlign w:val="baseline"/>
      </w:rPr>
    </w:lvl>
    <w:lvl w:ilvl="3">
      <w:start w:val="1"/>
      <w:numFmt w:val="bullet"/>
      <w:lvlText w:val="●"/>
      <w:lvlJc w:val="left"/>
      <w:pPr>
        <w:ind w:left="2880" w:hanging="360"/>
      </w:pPr>
      <w:rPr>
        <w:rFonts w:ascii="Times New Roman" w:cs="Times New Roman" w:eastAsia="Times New Roman" w:hAnsi="Times New Roman"/>
        <w:sz w:val="24"/>
        <w:szCs w:val="24"/>
        <w:u w:val="none"/>
        <w:vertAlign w:val="baseline"/>
      </w:rPr>
    </w:lvl>
    <w:lvl w:ilvl="4">
      <w:start w:val="1"/>
      <w:numFmt w:val="bullet"/>
      <w:lvlText w:val="○"/>
      <w:lvlJc w:val="left"/>
      <w:pPr>
        <w:ind w:left="3600" w:hanging="360"/>
      </w:pPr>
      <w:rPr>
        <w:rFonts w:ascii="Times New Roman" w:cs="Times New Roman" w:eastAsia="Times New Roman" w:hAnsi="Times New Roman"/>
        <w:sz w:val="24"/>
        <w:szCs w:val="24"/>
        <w:u w:val="none"/>
        <w:vertAlign w:val="baseline"/>
      </w:rPr>
    </w:lvl>
    <w:lvl w:ilvl="5">
      <w:start w:val="1"/>
      <w:numFmt w:val="bullet"/>
      <w:lvlText w:val="■"/>
      <w:lvlJc w:val="left"/>
      <w:pPr>
        <w:ind w:left="4320" w:hanging="360"/>
      </w:pPr>
      <w:rPr>
        <w:rFonts w:ascii="Times New Roman" w:cs="Times New Roman" w:eastAsia="Times New Roman" w:hAnsi="Times New Roman"/>
        <w:sz w:val="24"/>
        <w:szCs w:val="24"/>
        <w:u w:val="none"/>
        <w:vertAlign w:val="baseline"/>
      </w:rPr>
    </w:lvl>
    <w:lvl w:ilvl="6">
      <w:start w:val="1"/>
      <w:numFmt w:val="bullet"/>
      <w:lvlText w:val="●"/>
      <w:lvlJc w:val="left"/>
      <w:pPr>
        <w:ind w:left="5040" w:hanging="360"/>
      </w:pPr>
      <w:rPr>
        <w:rFonts w:ascii="Times New Roman" w:cs="Times New Roman" w:eastAsia="Times New Roman" w:hAnsi="Times New Roman"/>
        <w:sz w:val="24"/>
        <w:szCs w:val="24"/>
        <w:u w:val="none"/>
        <w:vertAlign w:val="baseline"/>
      </w:rPr>
    </w:lvl>
    <w:lvl w:ilvl="7">
      <w:start w:val="1"/>
      <w:numFmt w:val="bullet"/>
      <w:lvlText w:val="○"/>
      <w:lvlJc w:val="left"/>
      <w:pPr>
        <w:ind w:left="5760" w:hanging="360"/>
      </w:pPr>
      <w:rPr>
        <w:rFonts w:ascii="Times New Roman" w:cs="Times New Roman" w:eastAsia="Times New Roman" w:hAnsi="Times New Roman"/>
        <w:sz w:val="24"/>
        <w:szCs w:val="24"/>
        <w:u w:val="none"/>
        <w:vertAlign w:val="baseline"/>
      </w:rPr>
    </w:lvl>
    <w:lvl w:ilvl="8">
      <w:start w:val="1"/>
      <w:numFmt w:val="bullet"/>
      <w:lvlText w:val="■"/>
      <w:lvlJc w:val="left"/>
      <w:pPr>
        <w:ind w:left="6480" w:hanging="360"/>
      </w:pPr>
      <w:rPr>
        <w:rFonts w:ascii="Times New Roman" w:cs="Times New Roman" w:eastAsia="Times New Roman" w:hAnsi="Times New Roman"/>
        <w:sz w:val="24"/>
        <w:szCs w:val="24"/>
        <w:u w:val="none"/>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7">
    <w:lvl w:ilvl="0">
      <w:start w:val="1"/>
      <w:numFmt w:val="bullet"/>
      <w:lvlText w:val="●"/>
      <w:lvlJc w:val="left"/>
      <w:pPr>
        <w:ind w:left="75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1470" w:hanging="360"/>
      </w:pPr>
      <w:rPr>
        <w:rFonts w:ascii="Noto Sans Symbols" w:cs="Noto Sans Symbols" w:eastAsia="Noto Sans Symbols" w:hAnsi="Noto Sans Symbols"/>
        <w:sz w:val="24"/>
        <w:szCs w:val="24"/>
        <w:vertAlign w:val="baseline"/>
      </w:rPr>
    </w:lvl>
    <w:lvl w:ilvl="2">
      <w:start w:val="1"/>
      <w:numFmt w:val="bullet"/>
      <w:lvlText w:val="▪"/>
      <w:lvlJc w:val="left"/>
      <w:pPr>
        <w:ind w:left="2190"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2910"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3630" w:hanging="360"/>
      </w:pPr>
      <w:rPr>
        <w:rFonts w:ascii="Noto Sans Symbols" w:cs="Noto Sans Symbols" w:eastAsia="Noto Sans Symbols" w:hAnsi="Noto Sans Symbols"/>
        <w:sz w:val="24"/>
        <w:szCs w:val="24"/>
        <w:vertAlign w:val="baseline"/>
      </w:rPr>
    </w:lvl>
    <w:lvl w:ilvl="5">
      <w:start w:val="1"/>
      <w:numFmt w:val="bullet"/>
      <w:lvlText w:val="▪"/>
      <w:lvlJc w:val="left"/>
      <w:pPr>
        <w:ind w:left="4350"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5070"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5790" w:hanging="360"/>
      </w:pPr>
      <w:rPr>
        <w:rFonts w:ascii="Noto Sans Symbols" w:cs="Noto Sans Symbols" w:eastAsia="Noto Sans Symbols" w:hAnsi="Noto Sans Symbols"/>
        <w:sz w:val="24"/>
        <w:szCs w:val="24"/>
        <w:vertAlign w:val="baseline"/>
      </w:rPr>
    </w:lvl>
    <w:lvl w:ilvl="8">
      <w:start w:val="1"/>
      <w:numFmt w:val="bullet"/>
      <w:lvlText w:val="▪"/>
      <w:lvlJc w:val="left"/>
      <w:pPr>
        <w:ind w:left="6510" w:hanging="360"/>
      </w:pPr>
      <w:rPr>
        <w:rFonts w:ascii="Noto Sans Symbols" w:cs="Noto Sans Symbols" w:eastAsia="Noto Sans Symbols" w:hAnsi="Noto Sans Symbols"/>
        <w:smallCaps w:val="0"/>
        <w:strike w:val="0"/>
        <w:color w:val="000000"/>
        <w:sz w:val="24"/>
        <w:szCs w:val="24"/>
        <w:vertAlign w:val="baseline"/>
      </w:rPr>
    </w:lvl>
  </w:abstractNum>
  <w:abstractNum w:abstractNumId="18">
    <w:lvl w:ilvl="0">
      <w:start w:val="1"/>
      <w:numFmt w:val="bullet"/>
      <w:lvlText w:val="●"/>
      <w:lvlJc w:val="left"/>
      <w:pPr>
        <w:ind w:left="2421"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3141" w:hanging="360"/>
      </w:pPr>
      <w:rPr>
        <w:rFonts w:ascii="Noto Sans Symbols" w:cs="Noto Sans Symbols" w:eastAsia="Noto Sans Symbols" w:hAnsi="Noto Sans Symbols"/>
        <w:sz w:val="24"/>
        <w:szCs w:val="24"/>
        <w:vertAlign w:val="baseline"/>
      </w:rPr>
    </w:lvl>
    <w:lvl w:ilvl="2">
      <w:start w:val="1"/>
      <w:numFmt w:val="bullet"/>
      <w:lvlText w:val="▪"/>
      <w:lvlJc w:val="left"/>
      <w:pPr>
        <w:ind w:left="3861"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4581"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5301" w:hanging="360"/>
      </w:pPr>
      <w:rPr>
        <w:rFonts w:ascii="Noto Sans Symbols" w:cs="Noto Sans Symbols" w:eastAsia="Noto Sans Symbols" w:hAnsi="Noto Sans Symbols"/>
        <w:sz w:val="24"/>
        <w:szCs w:val="24"/>
        <w:vertAlign w:val="baseline"/>
      </w:rPr>
    </w:lvl>
    <w:lvl w:ilvl="5">
      <w:start w:val="1"/>
      <w:numFmt w:val="bullet"/>
      <w:lvlText w:val="▪"/>
      <w:lvlJc w:val="left"/>
      <w:pPr>
        <w:ind w:left="6021"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6741"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7461" w:hanging="360"/>
      </w:pPr>
      <w:rPr>
        <w:rFonts w:ascii="Noto Sans Symbols" w:cs="Noto Sans Symbols" w:eastAsia="Noto Sans Symbols" w:hAnsi="Noto Sans Symbols"/>
        <w:sz w:val="24"/>
        <w:szCs w:val="24"/>
        <w:vertAlign w:val="baseline"/>
      </w:rPr>
    </w:lvl>
    <w:lvl w:ilvl="8">
      <w:start w:val="1"/>
      <w:numFmt w:val="bullet"/>
      <w:lvlText w:val="▪"/>
      <w:lvlJc w:val="left"/>
      <w:pPr>
        <w:ind w:left="8181" w:hanging="360"/>
      </w:pPr>
      <w:rPr>
        <w:rFonts w:ascii="Noto Sans Symbols" w:cs="Noto Sans Symbols" w:eastAsia="Noto Sans Symbols" w:hAnsi="Noto Sans Symbols"/>
        <w:smallCaps w:val="0"/>
        <w:strike w:val="0"/>
        <w:color w:val="000000"/>
        <w:sz w:val="24"/>
        <w:szCs w:val="24"/>
        <w:vertAlign w:val="baseline"/>
      </w:rPr>
    </w:lvl>
  </w:abstractNum>
  <w:abstractNum w:abstractNumId="19">
    <w:lvl w:ilvl="0">
      <w:start w:val="1"/>
      <w:numFmt w:val="bullet"/>
      <w:lvlText w:val="●"/>
      <w:lvlJc w:val="left"/>
      <w:pPr>
        <w:ind w:left="1854"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574" w:hanging="360"/>
      </w:pPr>
      <w:rPr>
        <w:rFonts w:ascii="Noto Sans Symbols" w:cs="Noto Sans Symbols" w:eastAsia="Noto Sans Symbols" w:hAnsi="Noto Sans Symbols"/>
        <w:sz w:val="24"/>
        <w:szCs w:val="24"/>
        <w:vertAlign w:val="baseline"/>
      </w:rPr>
    </w:lvl>
    <w:lvl w:ilvl="2">
      <w:start w:val="1"/>
      <w:numFmt w:val="bullet"/>
      <w:lvlText w:val="▪"/>
      <w:lvlJc w:val="left"/>
      <w:pPr>
        <w:ind w:left="3294"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014"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4734" w:hanging="360"/>
      </w:pPr>
      <w:rPr>
        <w:rFonts w:ascii="Noto Sans Symbols" w:cs="Noto Sans Symbols" w:eastAsia="Noto Sans Symbols" w:hAnsi="Noto Sans Symbols"/>
        <w:sz w:val="24"/>
        <w:szCs w:val="24"/>
        <w:vertAlign w:val="baseline"/>
      </w:rPr>
    </w:lvl>
    <w:lvl w:ilvl="5">
      <w:start w:val="1"/>
      <w:numFmt w:val="bullet"/>
      <w:lvlText w:val="▪"/>
      <w:lvlJc w:val="left"/>
      <w:pPr>
        <w:ind w:left="5454"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174"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894" w:hanging="360"/>
      </w:pPr>
      <w:rPr>
        <w:rFonts w:ascii="Noto Sans Symbols" w:cs="Noto Sans Symbols" w:eastAsia="Noto Sans Symbols" w:hAnsi="Noto Sans Symbols"/>
        <w:sz w:val="24"/>
        <w:szCs w:val="24"/>
        <w:vertAlign w:val="baseline"/>
      </w:rPr>
    </w:lvl>
    <w:lvl w:ilvl="8">
      <w:start w:val="1"/>
      <w:numFmt w:val="bullet"/>
      <w:lvlText w:val="▪"/>
      <w:lvlJc w:val="left"/>
      <w:pPr>
        <w:ind w:left="7614" w:hanging="360"/>
      </w:pPr>
      <w:rPr>
        <w:rFonts w:ascii="Noto Sans Symbols" w:cs="Noto Sans Symbols" w:eastAsia="Noto Sans Symbols" w:hAnsi="Noto Sans Symbols"/>
        <w:color w:val="000000"/>
        <w:sz w:val="24"/>
        <w:szCs w:val="24"/>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mallCaps w:val="0"/>
        <w:strike w:val="0"/>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mallCaps w:val="0"/>
        <w:strike w:val="0"/>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mallCaps w:val="0"/>
        <w:strike w:val="0"/>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mallCaps w:val="0"/>
        <w:strike w:val="0"/>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mallCaps w:val="0"/>
        <w:strike w:val="0"/>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mallCaps w:val="0"/>
        <w:strike w:val="0"/>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mallCaps w:val="0"/>
        <w:strike w:val="0"/>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mallCaps w:val="0"/>
        <w:strike w:val="0"/>
        <w:color w:val="000000"/>
        <w:sz w:val="20"/>
        <w:szCs w:val="20"/>
        <w:vertAlign w:val="baseline"/>
      </w:rPr>
    </w:lvl>
  </w:abstractNum>
  <w:abstractNum w:abstractNumId="24">
    <w:lvl w:ilvl="0">
      <w:start w:val="1"/>
      <w:numFmt w:val="decimal"/>
      <w:lvlText w:val="%1."/>
      <w:lvlJc w:val="left"/>
      <w:pPr>
        <w:ind w:left="718" w:hanging="360"/>
      </w:pPr>
      <w:rPr>
        <w:rFonts w:ascii="Comic Sans MS" w:cs="Comic Sans MS" w:eastAsia="Comic Sans MS" w:hAnsi="Comic Sans M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4"/>
        <w:szCs w:val="24"/>
        <w:vertAlign w:val="baseline"/>
      </w:rPr>
    </w:lvl>
    <w:lvl w:ilvl="2">
      <w:start w:val="1"/>
      <w:numFmt w:val="bullet"/>
      <w:lvlText w:val="▪"/>
      <w:lvlJc w:val="left"/>
      <w:pPr>
        <w:ind w:left="0" w:firstLine="0"/>
      </w:pPr>
      <w:rPr>
        <w:rFonts w:ascii="Noto Sans Symbols" w:cs="Noto Sans Symbols" w:eastAsia="Noto Sans Symbols" w:hAnsi="Noto Sans Symbols"/>
        <w:sz w:val="24"/>
        <w:szCs w:val="24"/>
        <w:vertAlign w:val="baseline"/>
      </w:rPr>
    </w:lvl>
    <w:lvl w:ilvl="3">
      <w:start w:val="1"/>
      <w:numFmt w:val="bullet"/>
      <w:lvlText w:val="●"/>
      <w:lvlJc w:val="left"/>
      <w:pPr>
        <w:ind w:left="0" w:firstLine="0"/>
      </w:pPr>
      <w:rPr>
        <w:rFonts w:ascii="Noto Sans Symbols" w:cs="Noto Sans Symbols" w:eastAsia="Noto Sans Symbols" w:hAnsi="Noto Sans Symbols"/>
        <w:sz w:val="24"/>
        <w:szCs w:val="24"/>
        <w:vertAlign w:val="baseline"/>
      </w:rPr>
    </w:lvl>
    <w:lvl w:ilvl="4">
      <w:start w:val="1"/>
      <w:numFmt w:val="bullet"/>
      <w:lvlText w:val="◦"/>
      <w:lvlJc w:val="left"/>
      <w:pPr>
        <w:ind w:left="0" w:firstLine="0"/>
      </w:pPr>
      <w:rPr>
        <w:rFonts w:ascii="Noto Sans Symbols" w:cs="Noto Sans Symbols" w:eastAsia="Noto Sans Symbols" w:hAnsi="Noto Sans Symbols"/>
        <w:sz w:val="24"/>
        <w:szCs w:val="24"/>
        <w:vertAlign w:val="baseline"/>
      </w:rPr>
    </w:lvl>
    <w:lvl w:ilvl="5">
      <w:start w:val="1"/>
      <w:numFmt w:val="bullet"/>
      <w:lvlText w:val="▪"/>
      <w:lvlJc w:val="left"/>
      <w:pPr>
        <w:ind w:left="0" w:firstLine="0"/>
      </w:pPr>
      <w:rPr>
        <w:rFonts w:ascii="Noto Sans Symbols" w:cs="Noto Sans Symbols" w:eastAsia="Noto Sans Symbols" w:hAnsi="Noto Sans Symbols"/>
        <w:sz w:val="24"/>
        <w:szCs w:val="24"/>
        <w:vertAlign w:val="baseline"/>
      </w:rPr>
    </w:lvl>
    <w:lvl w:ilvl="6">
      <w:start w:val="1"/>
      <w:numFmt w:val="bullet"/>
      <w:lvlText w:val="●"/>
      <w:lvlJc w:val="left"/>
      <w:pPr>
        <w:ind w:left="0" w:firstLine="0"/>
      </w:pPr>
      <w:rPr>
        <w:rFonts w:ascii="Noto Sans Symbols" w:cs="Noto Sans Symbols" w:eastAsia="Noto Sans Symbols" w:hAnsi="Noto Sans Symbols"/>
        <w:sz w:val="24"/>
        <w:szCs w:val="24"/>
        <w:vertAlign w:val="baseline"/>
      </w:rPr>
    </w:lvl>
    <w:lvl w:ilvl="7">
      <w:start w:val="1"/>
      <w:numFmt w:val="bullet"/>
      <w:lvlText w:val="◦"/>
      <w:lvlJc w:val="left"/>
      <w:pPr>
        <w:ind w:left="0" w:firstLine="0"/>
      </w:pPr>
      <w:rPr>
        <w:rFonts w:ascii="Noto Sans Symbols" w:cs="Noto Sans Symbols" w:eastAsia="Noto Sans Symbols" w:hAnsi="Noto Sans Symbols"/>
        <w:sz w:val="24"/>
        <w:szCs w:val="24"/>
        <w:vertAlign w:val="baseline"/>
      </w:rPr>
    </w:lvl>
    <w:lvl w:ilvl="8">
      <w:start w:val="1"/>
      <w:numFmt w:val="bullet"/>
      <w:lvlText w:val="▪"/>
      <w:lvlJc w:val="left"/>
      <w:pPr>
        <w:ind w:left="0" w:firstLine="0"/>
      </w:pPr>
      <w:rPr>
        <w:rFonts w:ascii="Noto Sans Symbols" w:cs="Noto Sans Symbols" w:eastAsia="Noto Sans Symbols" w:hAnsi="Noto Sans Symbols"/>
        <w:sz w:val="24"/>
        <w:szCs w:val="24"/>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rsid w:val="00122243"/>
    <w:tblPr>
      <w:tblCellMar>
        <w:top w:w="100.0" w:type="dxa"/>
        <w:left w:w="100.0" w:type="dxa"/>
        <w:bottom w:w="100.0" w:type="dxa"/>
        <w:right w:w="100.0" w:type="dxa"/>
      </w:tblCellMar>
    </w:tblPr>
  </w:style>
  <w:style w:type="paragraph" w:styleId="normal" w:customStyle="1">
    <w:name w:val="normal"/>
    <w:rsid w:val="00122243"/>
  </w:style>
  <w:style w:type="paragraph" w:styleId="normal0" w:customStyle="1">
    <w:name w:val="normal"/>
    <w:rsid w:val="00122243"/>
  </w:style>
  <w:style w:type="table" w:styleId="TableNormal0" w:customStyle="1">
    <w:name w:val="TableNormal"/>
    <w:rsid w:val="00122243"/>
    <w:tblPr>
      <w:tblCellMar>
        <w:top w:w="0.0" w:type="dxa"/>
        <w:left w:w="0.0" w:type="dxa"/>
        <w:bottom w:w="0.0" w:type="dxa"/>
        <w:right w:w="0.0" w:type="dxa"/>
      </w:tblCellMar>
    </w:tblPr>
  </w:style>
  <w:style w:type="paragraph" w:styleId="normal1" w:customStyle="1">
    <w:name w:val="normal"/>
    <w:rsid w:val="00122243"/>
  </w:style>
  <w:style w:type="table" w:styleId="TableNormal1" w:customStyle="1">
    <w:name w:val="TableNormal"/>
    <w:rsid w:val="00122243"/>
    <w:tblPr>
      <w:tblCellMar>
        <w:top w:w="0.0" w:type="dxa"/>
        <w:left w:w="0.0" w:type="dxa"/>
        <w:bottom w:w="0.0" w:type="dxa"/>
        <w:right w:w="0.0" w:type="dxa"/>
      </w:tblCellMar>
    </w:tblPr>
  </w:style>
  <w:style w:type="paragraph" w:styleId="normal2" w:customStyle="1">
    <w:name w:val="normal"/>
    <w:rsid w:val="00122243"/>
  </w:style>
  <w:style w:type="table" w:styleId="TableNormal2" w:customStyle="1">
    <w:name w:val="Table Normal"/>
    <w:rsid w:val="00122243"/>
    <w:tblPr>
      <w:tblCellMar>
        <w:top w:w="0.0" w:type="dxa"/>
        <w:left w:w="0.0" w:type="dxa"/>
        <w:bottom w:w="0.0" w:type="dxa"/>
        <w:right w:w="0.0" w:type="dxa"/>
      </w:tblCellMar>
    </w:tblPr>
  </w:style>
  <w:style w:type="paragraph" w:styleId="normal3" w:customStyle="1">
    <w:name w:val="normal"/>
    <w:rsid w:val="00122243"/>
  </w:style>
  <w:style w:type="table" w:styleId="TableNormal3" w:customStyle="1">
    <w:name w:val="Table Normal"/>
    <w:rsid w:val="00122243"/>
    <w:tblPr>
      <w:tblCellMar>
        <w:top w:w="0.0" w:type="dxa"/>
        <w:left w:w="0.0" w:type="dxa"/>
        <w:bottom w:w="0.0" w:type="dxa"/>
        <w:right w:w="0.0" w:type="dxa"/>
      </w:tblCellMar>
    </w:tblPr>
  </w:style>
  <w:style w:type="paragraph" w:styleId="normal4" w:customStyle="1">
    <w:name w:val="normal"/>
    <w:rsid w:val="00122243"/>
  </w:style>
  <w:style w:type="table" w:styleId="TableNormal4" w:customStyle="1">
    <w:name w:val="Table Normal"/>
    <w:rsid w:val="00122243"/>
    <w:tblPr>
      <w:tblCellMar>
        <w:top w:w="0.0" w:type="dxa"/>
        <w:left w:w="0.0" w:type="dxa"/>
        <w:bottom w:w="0.0" w:type="dxa"/>
        <w:right w:w="0.0" w:type="dxa"/>
      </w:tblCellMar>
    </w:tblPr>
  </w:style>
  <w:style w:type="paragraph" w:styleId="normal5" w:customStyle="1">
    <w:name w:val="normal"/>
    <w:rsid w:val="00122243"/>
  </w:style>
  <w:style w:type="table" w:styleId="TableNormal5" w:customStyle="1">
    <w:name w:val="Table Normal"/>
    <w:rsid w:val="00122243"/>
    <w:tblPr>
      <w:tblCellMar>
        <w:top w:w="0.0" w:type="dxa"/>
        <w:left w:w="0.0" w:type="dxa"/>
        <w:bottom w:w="0.0" w:type="dxa"/>
        <w:right w:w="0.0" w:type="dxa"/>
      </w:tblCellMar>
    </w:tblPr>
  </w:style>
  <w:style w:type="paragraph" w:styleId="normal6" w:customStyle="1">
    <w:name w:val="normal"/>
    <w:rsid w:val="00122243"/>
  </w:style>
  <w:style w:type="table" w:styleId="TableNormal6" w:customStyle="1">
    <w:name w:val="Table Normal"/>
    <w:rsid w:val="00122243"/>
    <w:tblPr>
      <w:tblCellMar>
        <w:top w:w="0.0" w:type="dxa"/>
        <w:left w:w="0.0" w:type="dxa"/>
        <w:bottom w:w="0.0" w:type="dxa"/>
        <w:right w:w="0.0" w:type="dxa"/>
      </w:tblCellMar>
    </w:tblPr>
  </w:style>
  <w:style w:type="paragraph" w:styleId="normal7" w:customStyle="1">
    <w:name w:val="normal"/>
    <w:rsid w:val="00122243"/>
  </w:style>
  <w:style w:type="table" w:styleId="TableNormal7" w:customStyle="1">
    <w:name w:val="Table Normal"/>
    <w:rsid w:val="00122243"/>
    <w:tblPr>
      <w:tblCellMar>
        <w:top w:w="0.0" w:type="dxa"/>
        <w:left w:w="0.0" w:type="dxa"/>
        <w:bottom w:w="0.0" w:type="dxa"/>
        <w:right w:w="0.0" w:type="dxa"/>
      </w:tblCellMar>
    </w:tblPr>
  </w:style>
  <w:style w:type="paragraph" w:styleId="normal8" w:customStyle="1">
    <w:name w:val="normal"/>
    <w:rsid w:val="00122243"/>
  </w:style>
  <w:style w:type="table" w:styleId="TableNormal8" w:customStyle="1">
    <w:name w:val="Table Normal"/>
    <w:rsid w:val="00122243"/>
    <w:tblPr>
      <w:tblCellMar>
        <w:top w:w="0.0" w:type="dxa"/>
        <w:left w:w="0.0" w:type="dxa"/>
        <w:bottom w:w="0.0" w:type="dxa"/>
        <w:right w:w="0.0" w:type="dxa"/>
      </w:tblCellMar>
    </w:tblPr>
  </w:style>
  <w:style w:type="table" w:styleId="TableNormal9" w:customStyle="1">
    <w:name w:val="Table Normal"/>
    <w:rsid w:val="00122243"/>
    <w:tblPr>
      <w:tblCellMar>
        <w:top w:w="0.0" w:type="dxa"/>
        <w:left w:w="0.0" w:type="dxa"/>
        <w:bottom w:w="0.0" w:type="dxa"/>
        <w:right w:w="0.0" w:type="dxa"/>
      </w:tblCellMar>
    </w:tblPr>
  </w:style>
  <w:style w:type="table" w:styleId="TableNormala" w:customStyle="1">
    <w:name w:val="Table Normal"/>
    <w:rsid w:val="00122243"/>
    <w:tblPr>
      <w:tblCellMar>
        <w:top w:w="0.0" w:type="dxa"/>
        <w:left w:w="0.0" w:type="dxa"/>
        <w:bottom w:w="0.0" w:type="dxa"/>
        <w:right w:w="0.0" w:type="dxa"/>
      </w:tblCellMar>
    </w:tblPr>
  </w:style>
  <w:style w:type="table" w:styleId="TableNormalb" w:customStyle="1">
    <w:name w:val="Table Normal"/>
    <w:rsid w:val="00122243"/>
    <w:tblPr>
      <w:tblCellMar>
        <w:top w:w="0.0" w:type="dxa"/>
        <w:left w:w="0.0" w:type="dxa"/>
        <w:bottom w:w="0.0" w:type="dxa"/>
        <w:right w:w="0.0" w:type="dxa"/>
      </w:tblCellMar>
    </w:tblPr>
  </w:style>
  <w:style w:type="paragraph" w:styleId="Normale1" w:customStyle="1">
    <w:name w:val="Normale1"/>
    <w:rsid w:val="00DD15A5"/>
  </w:style>
  <w:style w:type="table" w:styleId="TableNormalc" w:customStyle="1">
    <w:name w:val="Table Normal"/>
    <w:rsid w:val="00DD15A5"/>
    <w:tblPr>
      <w:tblCellMar>
        <w:top w:w="0.0" w:type="dxa"/>
        <w:left w:w="0.0" w:type="dxa"/>
        <w:bottom w:w="0.0" w:type="dxa"/>
        <w:right w:w="0.0" w:type="dxa"/>
      </w:tblCellMar>
    </w:tblPr>
  </w:style>
  <w:style w:type="paragraph" w:styleId="Normale2" w:customStyle="1">
    <w:name w:val="Normale2"/>
    <w:rsid w:val="00DD15A5"/>
  </w:style>
  <w:style w:type="table" w:styleId="TableNormald" w:customStyle="1">
    <w:name w:val="Table Normal"/>
    <w:rsid w:val="00DD15A5"/>
    <w:tblPr>
      <w:tblCellMar>
        <w:top w:w="0.0" w:type="dxa"/>
        <w:left w:w="0.0" w:type="dxa"/>
        <w:bottom w:w="0.0" w:type="dxa"/>
        <w:right w:w="0.0" w:type="dxa"/>
      </w:tblCellMar>
    </w:tblPr>
  </w:style>
  <w:style w:type="paragraph" w:styleId="Predefinito" w:customStyle="1">
    <w:name w:val="Predefinito"/>
    <w:autoRedefine w:val="1"/>
    <w:hidden w:val="1"/>
    <w:qFormat w:val="1"/>
    <w:rsid w:val="00DD15A5"/>
    <w:pPr>
      <w:widowControl w:val="0"/>
      <w:spacing w:line="1" w:lineRule="atLeast"/>
      <w:ind w:left="-1" w:leftChars="-1" w:hanging="1" w:hangingChars="1"/>
      <w:textDirection w:val="btLr"/>
      <w:textAlignment w:val="top"/>
      <w:outlineLvl w:val="0"/>
    </w:pPr>
    <w:rPr>
      <w:position w:val="-1"/>
      <w:lang w:eastAsia="zh-CN"/>
    </w:rPr>
  </w:style>
  <w:style w:type="paragraph" w:styleId="Intestazione1" w:customStyle="1">
    <w:name w:val="Intestazione 1"/>
    <w:basedOn w:val="Predefinito"/>
    <w:next w:val="Predefinito"/>
    <w:autoRedefine w:val="1"/>
    <w:hidden w:val="1"/>
    <w:qFormat w:val="1"/>
    <w:rsid w:val="00DD15A5"/>
    <w:pPr>
      <w:keepNext w:val="1"/>
      <w:keepLines w:val="1"/>
      <w:shd w:color="auto" w:fill="ffffff" w:val="clear"/>
      <w:spacing w:after="120" w:before="480" w:line="240" w:lineRule="auto"/>
      <w:ind w:firstLine="0"/>
    </w:pPr>
    <w:rPr>
      <w:b w:val="1"/>
      <w:color w:val="000000"/>
      <w:position w:val="0"/>
      <w:sz w:val="48"/>
      <w:szCs w:val="48"/>
    </w:rPr>
  </w:style>
  <w:style w:type="paragraph" w:styleId="Intestazione2" w:customStyle="1">
    <w:name w:val="Intestazione 2"/>
    <w:basedOn w:val="Predefinito"/>
    <w:next w:val="Predefinito"/>
    <w:autoRedefine w:val="1"/>
    <w:hidden w:val="1"/>
    <w:qFormat w:val="1"/>
    <w:rsid w:val="00DD15A5"/>
    <w:pPr>
      <w:keepNext w:val="1"/>
      <w:keepLines w:val="1"/>
      <w:shd w:color="auto" w:fill="ffffff" w:val="clear"/>
      <w:spacing w:after="80" w:before="360" w:line="240" w:lineRule="auto"/>
      <w:ind w:firstLine="0"/>
      <w:outlineLvl w:val="1"/>
    </w:pPr>
    <w:rPr>
      <w:b w:val="1"/>
      <w:color w:val="000000"/>
      <w:position w:val="0"/>
      <w:sz w:val="36"/>
      <w:szCs w:val="36"/>
    </w:rPr>
  </w:style>
  <w:style w:type="paragraph" w:styleId="Intestazione3" w:customStyle="1">
    <w:name w:val="Intestazione 3"/>
    <w:basedOn w:val="Predefinito"/>
    <w:next w:val="Predefinito"/>
    <w:autoRedefine w:val="1"/>
    <w:hidden w:val="1"/>
    <w:qFormat w:val="1"/>
    <w:rsid w:val="00DD15A5"/>
    <w:pPr>
      <w:keepNext w:val="1"/>
      <w:keepLines w:val="1"/>
      <w:shd w:color="auto" w:fill="ffffff" w:val="clear"/>
      <w:spacing w:after="80" w:before="280" w:line="240" w:lineRule="auto"/>
      <w:ind w:firstLine="0"/>
      <w:outlineLvl w:val="2"/>
    </w:pPr>
    <w:rPr>
      <w:b w:val="1"/>
      <w:color w:val="000000"/>
      <w:position w:val="0"/>
      <w:sz w:val="28"/>
      <w:szCs w:val="28"/>
    </w:rPr>
  </w:style>
  <w:style w:type="paragraph" w:styleId="Intestazione4" w:customStyle="1">
    <w:name w:val="Intestazione 4"/>
    <w:basedOn w:val="Predefinito"/>
    <w:next w:val="Predefinito"/>
    <w:autoRedefine w:val="1"/>
    <w:hidden w:val="1"/>
    <w:qFormat w:val="1"/>
    <w:rsid w:val="00DD15A5"/>
    <w:pPr>
      <w:keepNext w:val="1"/>
      <w:keepLines w:val="1"/>
      <w:shd w:color="auto" w:fill="ffffff" w:val="clear"/>
      <w:spacing w:after="40" w:before="240" w:line="240" w:lineRule="auto"/>
      <w:ind w:firstLine="0"/>
      <w:outlineLvl w:val="3"/>
    </w:pPr>
    <w:rPr>
      <w:b w:val="1"/>
      <w:color w:val="000000"/>
      <w:position w:val="0"/>
      <w:sz w:val="24"/>
      <w:szCs w:val="24"/>
    </w:rPr>
  </w:style>
  <w:style w:type="paragraph" w:styleId="Intestazione5" w:customStyle="1">
    <w:name w:val="Intestazione 5"/>
    <w:basedOn w:val="Predefinito"/>
    <w:next w:val="Predefinito"/>
    <w:autoRedefine w:val="1"/>
    <w:hidden w:val="1"/>
    <w:qFormat w:val="1"/>
    <w:rsid w:val="00DD15A5"/>
    <w:pPr>
      <w:keepNext w:val="1"/>
      <w:keepLines w:val="1"/>
      <w:shd w:color="auto" w:fill="ffffff" w:val="clear"/>
      <w:spacing w:after="40" w:before="220" w:line="240" w:lineRule="auto"/>
      <w:ind w:firstLine="0"/>
      <w:outlineLvl w:val="4"/>
    </w:pPr>
    <w:rPr>
      <w:b w:val="1"/>
      <w:color w:val="000000"/>
      <w:position w:val="0"/>
      <w:sz w:val="22"/>
      <w:szCs w:val="22"/>
    </w:rPr>
  </w:style>
  <w:style w:type="paragraph" w:styleId="Intestazione6" w:customStyle="1">
    <w:name w:val="Intestazione 6"/>
    <w:basedOn w:val="Predefinito"/>
    <w:next w:val="Predefinito"/>
    <w:autoRedefine w:val="1"/>
    <w:hidden w:val="1"/>
    <w:qFormat w:val="1"/>
    <w:rsid w:val="00DD15A5"/>
    <w:pPr>
      <w:keepNext w:val="1"/>
      <w:keepLines w:val="1"/>
      <w:shd w:color="auto" w:fill="ffffff" w:val="clear"/>
      <w:spacing w:after="40" w:before="200" w:line="240" w:lineRule="auto"/>
      <w:ind w:firstLine="0"/>
      <w:outlineLvl w:val="5"/>
    </w:pPr>
    <w:rPr>
      <w:b w:val="1"/>
      <w:color w:val="000000"/>
      <w:position w:val="0"/>
    </w:rPr>
  </w:style>
  <w:style w:type="character" w:styleId="WW8Num1z0" w:customStyle="1">
    <w:name w:val="WW8Num1z0"/>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z0" w:customStyle="1">
    <w:name w:val="WW8Num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2z1" w:customStyle="1">
    <w:name w:val="WW8Num2z1"/>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3z0" w:customStyle="1">
    <w:name w:val="WW8Num3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4z0" w:customStyle="1">
    <w:name w:val="WW8Num4z0"/>
    <w:autoRedefine w:val="1"/>
    <w:hidden w:val="1"/>
    <w:qFormat w:val="1"/>
    <w:rsid w:val="00DD15A5"/>
    <w:rPr>
      <w:w w:val="100"/>
      <w:position w:val="0"/>
      <w:sz w:val="24"/>
      <w:szCs w:val="24"/>
      <w:effect w:val="none"/>
      <w:vertAlign w:val="baseline"/>
      <w:cs w:val="0"/>
      <w:em w:val="none"/>
    </w:rPr>
  </w:style>
  <w:style w:type="character" w:styleId="WW8Num4z1" w:customStyle="1">
    <w:name w:val="WW8Num4z1"/>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5z0" w:customStyle="1">
    <w:name w:val="WW8Num5z0"/>
    <w:autoRedefine w:val="1"/>
    <w:hidden w:val="1"/>
    <w:qFormat w:val="1"/>
    <w:rsid w:val="00DD15A5"/>
    <w:rPr>
      <w:color w:val="000000"/>
      <w:w w:val="100"/>
      <w:position w:val="0"/>
      <w:sz w:val="28"/>
      <w:szCs w:val="28"/>
      <w:u w:val="none"/>
      <w:effect w:val="none"/>
      <w:vertAlign w:val="baseline"/>
      <w:cs w:val="0"/>
      <w:em w:val="none"/>
    </w:rPr>
  </w:style>
  <w:style w:type="character" w:styleId="WW8Num5z1" w:customStyle="1">
    <w:name w:val="WW8Num5z1"/>
    <w:autoRedefine w:val="1"/>
    <w:hidden w:val="1"/>
    <w:qFormat w:val="1"/>
    <w:rsid w:val="00DD15A5"/>
    <w:rPr>
      <w:w w:val="100"/>
      <w:position w:val="0"/>
      <w:sz w:val="24"/>
      <w:szCs w:val="24"/>
      <w:effect w:val="none"/>
      <w:vertAlign w:val="baseline"/>
      <w:cs w:val="0"/>
      <w:em w:val="none"/>
    </w:rPr>
  </w:style>
  <w:style w:type="character" w:styleId="WW8Num6z0" w:customStyle="1">
    <w:name w:val="WW8Num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6z1" w:customStyle="1">
    <w:name w:val="WW8Num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7z0" w:customStyle="1">
    <w:name w:val="WW8Num7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7z1" w:customStyle="1">
    <w:name w:val="WW8Num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8z0" w:customStyle="1">
    <w:name w:val="WW8Num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8z1" w:customStyle="1">
    <w:name w:val="WW8Num8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9z0" w:customStyle="1">
    <w:name w:val="WW8Num9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9z1" w:customStyle="1">
    <w:name w:val="WW8Num9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0z0" w:customStyle="1">
    <w:name w:val="WW8Num10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1z0" w:customStyle="1">
    <w:name w:val="WW8Num11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2z0" w:customStyle="1">
    <w:name w:val="WW8Num1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2z1" w:customStyle="1">
    <w:name w:val="WW8Num12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3z0" w:customStyle="1">
    <w:name w:val="WW8Num13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3z1" w:customStyle="1">
    <w:name w:val="WW8Num13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4z0" w:customStyle="1">
    <w:name w:val="WW8Num14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4z1" w:customStyle="1">
    <w:name w:val="WW8Num14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5z0" w:customStyle="1">
    <w:name w:val="WW8Num15z0"/>
    <w:autoRedefine w:val="1"/>
    <w:hidden w:val="1"/>
    <w:qFormat w:val="1"/>
    <w:rsid w:val="00DD15A5"/>
    <w:rPr>
      <w:rFonts w:ascii="Comic Sans MS" w:cs="Comic Sans MS" w:eastAsia="Comic Sans MS" w:hAnsi="Comic Sans MS"/>
      <w:w w:val="100"/>
      <w:position w:val="-1"/>
      <w:sz w:val="24"/>
      <w:szCs w:val="24"/>
      <w:u w:val="none"/>
      <w:effect w:val="none"/>
      <w:vertAlign w:val="baseline"/>
      <w:cs w:val="0"/>
      <w:em w:val="none"/>
    </w:rPr>
  </w:style>
  <w:style w:type="character" w:styleId="WW8Num16z0" w:customStyle="1">
    <w:name w:val="WW8Num1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6z1" w:customStyle="1">
    <w:name w:val="WW8Num1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7z0" w:customStyle="1">
    <w:name w:val="WW8Num17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0"/>
      <w:szCs w:val="20"/>
      <w:effect w:val="none"/>
      <w:vertAlign w:val="baseline"/>
      <w:cs w:val="0"/>
      <w:em w:val="none"/>
    </w:rPr>
  </w:style>
  <w:style w:type="character" w:styleId="WW8Num17z1" w:customStyle="1">
    <w:name w:val="WW8Num1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8z0" w:customStyle="1">
    <w:name w:val="WW8Num1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8z1" w:customStyle="1">
    <w:name w:val="WW8Num18z1"/>
    <w:autoRedefine w:val="1"/>
    <w:hidden w:val="1"/>
    <w:qFormat w:val="1"/>
    <w:rsid w:val="00DD15A5"/>
    <w:rPr>
      <w:w w:val="100"/>
      <w:position w:val="0"/>
      <w:sz w:val="20"/>
      <w:szCs w:val="20"/>
      <w:effect w:val="none"/>
      <w:vertAlign w:val="baseline"/>
      <w:cs w:val="0"/>
      <w:em w:val="none"/>
    </w:rPr>
  </w:style>
  <w:style w:type="character" w:styleId="WW8Num19z0" w:customStyle="1">
    <w:name w:val="WW8Num19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19z1" w:customStyle="1">
    <w:name w:val="WW8Num19z1"/>
    <w:autoRedefine w:val="1"/>
    <w:hidden w:val="1"/>
    <w:qFormat w:val="1"/>
    <w:rsid w:val="00DD15A5"/>
    <w:rPr>
      <w:rFonts w:ascii="Noto Sans Symbols" w:cs="Noto Sans Symbols" w:eastAsia="Noto Sans Symbols" w:hAnsi="Noto Sans Symbols"/>
      <w:w w:val="100"/>
      <w:position w:val="0"/>
      <w:sz w:val="24"/>
      <w:effect w:val="none"/>
      <w:vertAlign w:val="baseline"/>
      <w:cs w:val="0"/>
      <w:em w:val="none"/>
    </w:rPr>
  </w:style>
  <w:style w:type="character" w:styleId="WW8Num20z0" w:customStyle="1">
    <w:name w:val="WW8Num20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0z1" w:customStyle="1">
    <w:name w:val="WW8Num20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1z0" w:customStyle="1">
    <w:name w:val="WW8Num21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1z1" w:customStyle="1">
    <w:name w:val="WW8Num21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IntestazioneCarattere" w:customStyle="1">
    <w:name w:val="Intestazione Carattere"/>
    <w:basedOn w:val="Carpredefinitoparagrafo"/>
    <w:autoRedefine w:val="1"/>
    <w:hidden w:val="1"/>
    <w:qFormat w:val="1"/>
    <w:rsid w:val="00DD15A5"/>
    <w:rPr>
      <w:w w:val="100"/>
      <w:position w:val="-1"/>
      <w:effect w:val="none"/>
      <w:vertAlign w:val="baseline"/>
      <w:cs w:val="0"/>
      <w:em w:val="none"/>
    </w:rPr>
  </w:style>
  <w:style w:type="character" w:styleId="PidipaginaCarattere" w:customStyle="1">
    <w:name w:val="Piè di pagina Carattere"/>
    <w:basedOn w:val="Carpredefinitoparagrafo"/>
    <w:autoRedefine w:val="1"/>
    <w:hidden w:val="1"/>
    <w:qFormat w:val="1"/>
    <w:rsid w:val="00DD15A5"/>
    <w:rPr>
      <w:w w:val="100"/>
      <w:position w:val="-1"/>
      <w:effect w:val="none"/>
      <w:vertAlign w:val="baseline"/>
      <w:cs w:val="0"/>
      <w:em w:val="none"/>
    </w:rPr>
  </w:style>
  <w:style w:type="character" w:styleId="CollegamentoInternet" w:customStyle="1">
    <w:name w:val="Collegamento Internet"/>
    <w:autoRedefine w:val="1"/>
    <w:hidden w:val="1"/>
    <w:qFormat w:val="1"/>
    <w:rsid w:val="00DD15A5"/>
    <w:rPr>
      <w:color w:val="000080"/>
      <w:w w:val="100"/>
      <w:position w:val="-1"/>
      <w:u w:val="single"/>
      <w:effect w:val="none"/>
      <w:vertAlign w:val="baseline"/>
      <w:cs w:val="0"/>
      <w:em w:val="none"/>
    </w:rPr>
  </w:style>
  <w:style w:type="paragraph" w:styleId="Intestazione">
    <w:name w:val="header"/>
    <w:basedOn w:val="Predefinito"/>
    <w:next w:val="Corpotesto1"/>
    <w:autoRedefine w:val="1"/>
    <w:hidden w:val="1"/>
    <w:qFormat w:val="1"/>
    <w:rsid w:val="00DD15A5"/>
    <w:pPr>
      <w:keepNext w:val="1"/>
      <w:spacing w:after="120" w:before="240"/>
    </w:pPr>
    <w:rPr>
      <w:rFonts w:ascii="Arial" w:cs="Lucida Sans" w:eastAsia="Microsoft YaHei" w:hAnsi="Arial"/>
      <w:sz w:val="28"/>
      <w:szCs w:val="28"/>
    </w:rPr>
  </w:style>
  <w:style w:type="paragraph" w:styleId="Corpotesto1" w:customStyle="1">
    <w:name w:val="Corpo testo1"/>
    <w:basedOn w:val="Predefinito"/>
    <w:autoRedefine w:val="1"/>
    <w:hidden w:val="1"/>
    <w:qFormat w:val="1"/>
    <w:rsid w:val="00DD15A5"/>
    <w:pPr>
      <w:spacing w:after="120"/>
    </w:pPr>
  </w:style>
  <w:style w:type="paragraph" w:styleId="Elenco">
    <w:name w:val="List"/>
    <w:basedOn w:val="Corpotesto1"/>
    <w:autoRedefine w:val="1"/>
    <w:hidden w:val="1"/>
    <w:qFormat w:val="1"/>
    <w:rsid w:val="00DD15A5"/>
    <w:rPr>
      <w:rFonts w:cs="Lucida Sans"/>
    </w:rPr>
  </w:style>
  <w:style w:type="paragraph" w:styleId="Didascalia">
    <w:name w:val="caption"/>
    <w:basedOn w:val="Predefinito"/>
    <w:autoRedefine w:val="1"/>
    <w:hidden w:val="1"/>
    <w:qFormat w:val="1"/>
    <w:rsid w:val="00DD15A5"/>
    <w:pPr>
      <w:suppressLineNumbers w:val="1"/>
      <w:spacing w:after="120" w:before="120"/>
    </w:pPr>
    <w:rPr>
      <w:rFonts w:cs="Lucida Sans"/>
      <w:i w:val="1"/>
      <w:iCs w:val="1"/>
      <w:sz w:val="24"/>
      <w:szCs w:val="24"/>
    </w:rPr>
  </w:style>
  <w:style w:type="paragraph" w:styleId="Indice" w:customStyle="1">
    <w:name w:val="Indice"/>
    <w:basedOn w:val="Predefinito"/>
    <w:autoRedefine w:val="1"/>
    <w:hidden w:val="1"/>
    <w:qFormat w:val="1"/>
    <w:rsid w:val="00DD15A5"/>
    <w:pPr>
      <w:suppressLineNumbers w:val="1"/>
    </w:pPr>
    <w:rPr>
      <w:rFonts w:cs="Lucida Sans"/>
    </w:rPr>
  </w:style>
  <w:style w:type="paragraph" w:styleId="Rigadintestazione" w:customStyle="1">
    <w:name w:val="Riga d'intestazione"/>
    <w:basedOn w:val="Predefinito"/>
    <w:autoRedefine w:val="1"/>
    <w:hidden w:val="1"/>
    <w:qFormat w:val="1"/>
    <w:rsid w:val="00DD15A5"/>
    <w:pPr>
      <w:tabs>
        <w:tab w:val="center" w:pos="4819"/>
        <w:tab w:val="right" w:pos="9638"/>
      </w:tabs>
    </w:pPr>
  </w:style>
  <w:style w:type="paragraph" w:styleId="Pidipagina">
    <w:name w:val="footer"/>
    <w:basedOn w:val="Predefinito"/>
    <w:autoRedefine w:val="1"/>
    <w:hidden w:val="1"/>
    <w:qFormat w:val="1"/>
    <w:rsid w:val="00DD15A5"/>
    <w:pPr>
      <w:tabs>
        <w:tab w:val="center" w:pos="4819"/>
        <w:tab w:val="right" w:pos="9638"/>
      </w:tabs>
    </w:pPr>
  </w:style>
  <w:style w:type="paragraph" w:styleId="Contenutotabella" w:customStyle="1">
    <w:name w:val="Contenuto tabella"/>
    <w:basedOn w:val="Predefinito"/>
    <w:autoRedefine w:val="1"/>
    <w:hidden w:val="1"/>
    <w:qFormat w:val="1"/>
    <w:rsid w:val="00DD15A5"/>
    <w:pPr>
      <w:suppressLineNumbers w:val="1"/>
    </w:pPr>
  </w:style>
  <w:style w:type="paragraph" w:styleId="Intestazionetabella" w:customStyle="1">
    <w:name w:val="Intestazione tabella"/>
    <w:basedOn w:val="Contenutotabella"/>
    <w:autoRedefine w:val="1"/>
    <w:hidden w:val="1"/>
    <w:qFormat w:val="1"/>
    <w:rsid w:val="00DD15A5"/>
    <w:pPr>
      <w:jc w:val="center"/>
    </w:pPr>
    <w:rPr>
      <w:b w:val="1"/>
      <w:bCs w:val="1"/>
    </w:rPr>
  </w:style>
  <w:style w:type="table" w:styleId="a" w:customStyle="1">
    <w:basedOn w:val="TableNormald"/>
    <w:rsid w:val="00DD15A5"/>
    <w:tblPr>
      <w:tblStyleRowBandSize w:val="1"/>
      <w:tblStyleColBandSize w:val="1"/>
      <w:tblCellMar>
        <w:top w:w="28.0" w:type="dxa"/>
        <w:left w:w="108.0" w:type="dxa"/>
        <w:bottom w:w="28.0" w:type="dxa"/>
        <w:right w:w="108.0" w:type="dxa"/>
      </w:tblCellMar>
    </w:tblPr>
  </w:style>
  <w:style w:type="table" w:styleId="a0" w:customStyle="1">
    <w:basedOn w:val="TableNormald"/>
    <w:rsid w:val="00DD15A5"/>
    <w:tblPr>
      <w:tblStyleRowBandSize w:val="1"/>
      <w:tblStyleColBandSize w:val="1"/>
      <w:tblCellMar>
        <w:top w:w="28.0" w:type="dxa"/>
        <w:left w:w="108.0" w:type="dxa"/>
        <w:bottom w:w="28.0" w:type="dxa"/>
        <w:right w:w="108.0" w:type="dxa"/>
      </w:tblCellMar>
    </w:tblPr>
  </w:style>
  <w:style w:type="table" w:styleId="a1" w:customStyle="1">
    <w:basedOn w:val="TableNormald"/>
    <w:rsid w:val="00DD15A5"/>
    <w:tblPr>
      <w:tblStyleRowBandSize w:val="1"/>
      <w:tblStyleColBandSize w:val="1"/>
      <w:tblCellMar>
        <w:top w:w="28.0" w:type="dxa"/>
        <w:left w:w="108.0" w:type="dxa"/>
        <w:bottom w:w="28.0" w:type="dxa"/>
        <w:right w:w="108.0" w:type="dxa"/>
      </w:tblCellMar>
    </w:tblPr>
  </w:style>
  <w:style w:type="table" w:styleId="a2" w:customStyle="1">
    <w:basedOn w:val="TableNormald"/>
    <w:rsid w:val="00DD15A5"/>
    <w:tblPr>
      <w:tblStyleRowBandSize w:val="1"/>
      <w:tblStyleColBandSize w:val="1"/>
      <w:tblCellMar>
        <w:top w:w="28.0" w:type="dxa"/>
        <w:left w:w="108.0" w:type="dxa"/>
        <w:bottom w:w="28.0" w:type="dxa"/>
        <w:right w:w="108.0" w:type="dxa"/>
      </w:tblCellMar>
    </w:tblPr>
  </w:style>
  <w:style w:type="table" w:styleId="a3" w:customStyle="1">
    <w:basedOn w:val="TableNormald"/>
    <w:rsid w:val="00DD15A5"/>
    <w:tblPr>
      <w:tblStyleRowBandSize w:val="1"/>
      <w:tblStyleColBandSize w:val="1"/>
      <w:tblCellMar>
        <w:top w:w="28.0" w:type="dxa"/>
        <w:left w:w="108.0" w:type="dxa"/>
        <w:bottom w:w="28.0" w:type="dxa"/>
        <w:right w:w="108.0" w:type="dxa"/>
      </w:tblCellMar>
    </w:tblPr>
  </w:style>
  <w:style w:type="table" w:styleId="a4" w:customStyle="1">
    <w:basedOn w:val="TableNormald"/>
    <w:rsid w:val="00DD15A5"/>
    <w:tblPr>
      <w:tblStyleRowBandSize w:val="1"/>
      <w:tblStyleColBandSize w:val="1"/>
      <w:tblCellMar>
        <w:top w:w="28.0" w:type="dxa"/>
        <w:left w:w="108.0" w:type="dxa"/>
        <w:bottom w:w="28.0" w:type="dxa"/>
        <w:right w:w="108.0" w:type="dxa"/>
      </w:tblCellMar>
    </w:tblPr>
  </w:style>
  <w:style w:type="table" w:styleId="a5" w:customStyle="1">
    <w:basedOn w:val="TableNormalc"/>
    <w:rsid w:val="00122243"/>
    <w:tblPr>
      <w:tblStyleRowBandSize w:val="1"/>
      <w:tblStyleColBandSize w:val="1"/>
      <w:tblCellMar>
        <w:top w:w="28.0" w:type="dxa"/>
        <w:left w:w="108.0" w:type="dxa"/>
        <w:bottom w:w="28.0" w:type="dxa"/>
        <w:right w:w="108.0" w:type="dxa"/>
      </w:tblCellMar>
    </w:tblPr>
  </w:style>
  <w:style w:type="table" w:styleId="a6" w:customStyle="1">
    <w:basedOn w:val="TableNormalc"/>
    <w:rsid w:val="00122243"/>
    <w:tblPr>
      <w:tblStyleRowBandSize w:val="1"/>
      <w:tblStyleColBandSize w:val="1"/>
      <w:tblCellMar>
        <w:top w:w="28.0" w:type="dxa"/>
        <w:left w:w="108.0" w:type="dxa"/>
        <w:bottom w:w="28.0" w:type="dxa"/>
        <w:right w:w="108.0" w:type="dxa"/>
      </w:tblCellMar>
    </w:tblPr>
  </w:style>
  <w:style w:type="table" w:styleId="a7" w:customStyle="1">
    <w:basedOn w:val="TableNormalc"/>
    <w:rsid w:val="00122243"/>
    <w:tblPr>
      <w:tblStyleRowBandSize w:val="1"/>
      <w:tblStyleColBandSize w:val="1"/>
      <w:tblCellMar>
        <w:top w:w="28.0" w:type="dxa"/>
        <w:left w:w="108.0" w:type="dxa"/>
        <w:bottom w:w="28.0" w:type="dxa"/>
        <w:right w:w="108.0" w:type="dxa"/>
      </w:tblCellMar>
    </w:tblPr>
  </w:style>
  <w:style w:type="table" w:styleId="a8" w:customStyle="1">
    <w:basedOn w:val="TableNormalc"/>
    <w:rsid w:val="00122243"/>
    <w:tblPr>
      <w:tblStyleRowBandSize w:val="1"/>
      <w:tblStyleColBandSize w:val="1"/>
      <w:tblCellMar>
        <w:top w:w="28.0" w:type="dxa"/>
        <w:left w:w="108.0" w:type="dxa"/>
        <w:bottom w:w="28.0" w:type="dxa"/>
        <w:right w:w="108.0" w:type="dxa"/>
      </w:tblCellMar>
    </w:tblPr>
  </w:style>
  <w:style w:type="table" w:styleId="a9" w:customStyle="1">
    <w:basedOn w:val="TableNormalc"/>
    <w:rsid w:val="00122243"/>
    <w:tblPr>
      <w:tblStyleRowBandSize w:val="1"/>
      <w:tblStyleColBandSize w:val="1"/>
      <w:tblCellMar>
        <w:top w:w="28.0" w:type="dxa"/>
        <w:left w:w="108.0" w:type="dxa"/>
        <w:bottom w:w="28.0" w:type="dxa"/>
        <w:right w:w="108.0" w:type="dxa"/>
      </w:tblCellMar>
    </w:tblPr>
  </w:style>
  <w:style w:type="table" w:styleId="aa" w:customStyle="1">
    <w:basedOn w:val="TableNormalc"/>
    <w:rsid w:val="00122243"/>
    <w:tblPr>
      <w:tblStyleRowBandSize w:val="1"/>
      <w:tblStyleColBandSize w:val="1"/>
      <w:tblCellMar>
        <w:top w:w="28.0" w:type="dxa"/>
        <w:left w:w="108.0" w:type="dxa"/>
        <w:bottom w:w="28.0" w:type="dxa"/>
        <w:right w:w="108.0" w:type="dxa"/>
      </w:tblCellMar>
    </w:tblPr>
  </w:style>
  <w:style w:type="table" w:styleId="ab" w:customStyle="1">
    <w:basedOn w:val="TableNormalc"/>
    <w:rsid w:val="00122243"/>
    <w:tblPr>
      <w:tblStyleRowBandSize w:val="1"/>
      <w:tblStyleColBandSize w:val="1"/>
      <w:tblCellMar>
        <w:top w:w="28.0" w:type="dxa"/>
        <w:left w:w="108.0" w:type="dxa"/>
        <w:bottom w:w="28.0" w:type="dxa"/>
        <w:right w:w="108.0" w:type="dxa"/>
      </w:tblCellMar>
    </w:tblPr>
  </w:style>
  <w:style w:type="table" w:styleId="ac" w:customStyle="1">
    <w:basedOn w:val="TableNormalc"/>
    <w:rsid w:val="00122243"/>
    <w:tblPr>
      <w:tblStyleRowBandSize w:val="1"/>
      <w:tblStyleColBandSize w:val="1"/>
      <w:tblCellMar>
        <w:top w:w="28.0" w:type="dxa"/>
        <w:left w:w="108.0" w:type="dxa"/>
        <w:bottom w:w="28.0" w:type="dxa"/>
        <w:right w:w="108.0" w:type="dxa"/>
      </w:tblCellMar>
    </w:tblPr>
  </w:style>
  <w:style w:type="table" w:styleId="ad" w:customStyle="1">
    <w:basedOn w:val="TableNormalc"/>
    <w:rsid w:val="00122243"/>
    <w:tblPr>
      <w:tblStyleRowBandSize w:val="1"/>
      <w:tblStyleColBandSize w:val="1"/>
      <w:tblCellMar>
        <w:top w:w="28.0" w:type="dxa"/>
        <w:left w:w="108.0" w:type="dxa"/>
        <w:bottom w:w="28.0" w:type="dxa"/>
        <w:right w:w="108.0" w:type="dxa"/>
      </w:tblCellMar>
    </w:tblPr>
  </w:style>
  <w:style w:type="character" w:styleId="Enfasidelicata">
    <w:name w:val="Subtle Emphasis"/>
    <w:basedOn w:val="Carpredefinitoparagrafo"/>
    <w:uiPriority w:val="19"/>
    <w:qFormat w:val="1"/>
    <w:rsid w:val="0033406A"/>
    <w:rPr>
      <w:i w:val="1"/>
      <w:iCs w:val="1"/>
      <w:color w:val="404040" w:themeColor="text1" w:themeTint="0000BF"/>
    </w:rPr>
  </w:style>
  <w:style w:type="table" w:styleId="ae" w:customStyle="1">
    <w:basedOn w:val="TableNormal9"/>
    <w:rsid w:val="00122243"/>
    <w:tblPr>
      <w:tblStyleRowBandSize w:val="1"/>
      <w:tblStyleColBandSize w:val="1"/>
      <w:tblCellMar>
        <w:top w:w="28.0" w:type="dxa"/>
        <w:left w:w="108.0" w:type="dxa"/>
        <w:bottom w:w="28.0" w:type="dxa"/>
        <w:right w:w="108.0" w:type="dxa"/>
      </w:tblCellMar>
    </w:tblPr>
  </w:style>
  <w:style w:type="table" w:styleId="af" w:customStyle="1">
    <w:basedOn w:val="TableNormal9"/>
    <w:rsid w:val="00122243"/>
    <w:tblPr>
      <w:tblStyleRowBandSize w:val="1"/>
      <w:tblStyleColBandSize w:val="1"/>
      <w:tblCellMar>
        <w:top w:w="28.0" w:type="dxa"/>
        <w:left w:w="108.0" w:type="dxa"/>
        <w:bottom w:w="28.0" w:type="dxa"/>
        <w:right w:w="108.0" w:type="dxa"/>
      </w:tblCellMar>
    </w:tblPr>
  </w:style>
  <w:style w:type="table" w:styleId="af0" w:customStyle="1">
    <w:basedOn w:val="TableNormal9"/>
    <w:rsid w:val="00122243"/>
    <w:tblPr>
      <w:tblStyleRowBandSize w:val="1"/>
      <w:tblStyleColBandSize w:val="1"/>
      <w:tblCellMar>
        <w:top w:w="28.0" w:type="dxa"/>
        <w:left w:w="108.0" w:type="dxa"/>
        <w:bottom w:w="28.0" w:type="dxa"/>
        <w:right w:w="108.0" w:type="dxa"/>
      </w:tblCellMar>
    </w:tblPr>
  </w:style>
  <w:style w:type="table" w:styleId="af1" w:customStyle="1">
    <w:basedOn w:val="TableNormal9"/>
    <w:rsid w:val="00122243"/>
    <w:tblPr>
      <w:tblStyleRowBandSize w:val="1"/>
      <w:tblStyleColBandSize w:val="1"/>
      <w:tblCellMar>
        <w:top w:w="28.0" w:type="dxa"/>
        <w:left w:w="108.0" w:type="dxa"/>
        <w:bottom w:w="28.0" w:type="dxa"/>
        <w:right w:w="108.0" w:type="dxa"/>
      </w:tblCellMar>
    </w:tblPr>
  </w:style>
  <w:style w:type="table" w:styleId="af2" w:customStyle="1">
    <w:basedOn w:val="TableNormal9"/>
    <w:rsid w:val="00122243"/>
    <w:tblPr>
      <w:tblStyleRowBandSize w:val="1"/>
      <w:tblStyleColBandSize w:val="1"/>
      <w:tblCellMar>
        <w:top w:w="28.0" w:type="dxa"/>
        <w:left w:w="108.0" w:type="dxa"/>
        <w:bottom w:w="28.0" w:type="dxa"/>
        <w:right w:w="108.0" w:type="dxa"/>
      </w:tblCellMar>
    </w:tblPr>
  </w:style>
  <w:style w:type="table" w:styleId="af3" w:customStyle="1">
    <w:basedOn w:val="TableNormal9"/>
    <w:rsid w:val="00122243"/>
    <w:tblPr>
      <w:tblStyleRowBandSize w:val="1"/>
      <w:tblStyleColBandSize w:val="1"/>
      <w:tblCellMar>
        <w:top w:w="28.0" w:type="dxa"/>
        <w:left w:w="108.0" w:type="dxa"/>
        <w:bottom w:w="28.0" w:type="dxa"/>
        <w:right w:w="108.0" w:type="dxa"/>
      </w:tblCellMar>
    </w:tblPr>
  </w:style>
  <w:style w:type="table" w:styleId="af4" w:customStyle="1">
    <w:basedOn w:val="TableNormal9"/>
    <w:rsid w:val="00122243"/>
    <w:tblPr>
      <w:tblStyleRowBandSize w:val="1"/>
      <w:tblStyleColBandSize w:val="1"/>
      <w:tblCellMar>
        <w:top w:w="28.0" w:type="dxa"/>
        <w:left w:w="108.0" w:type="dxa"/>
        <w:bottom w:w="28.0" w:type="dxa"/>
        <w:right w:w="108.0" w:type="dxa"/>
      </w:tblCellMar>
    </w:tblPr>
  </w:style>
  <w:style w:type="table" w:styleId="af5" w:customStyle="1">
    <w:basedOn w:val="TableNormal9"/>
    <w:rsid w:val="00122243"/>
    <w:tblPr>
      <w:tblStyleRowBandSize w:val="1"/>
      <w:tblStyleColBandSize w:val="1"/>
      <w:tblCellMar>
        <w:top w:w="28.0" w:type="dxa"/>
        <w:left w:w="108.0" w:type="dxa"/>
        <w:bottom w:w="28.0" w:type="dxa"/>
        <w:right w:w="108.0" w:type="dxa"/>
      </w:tblCellMar>
    </w:tblPr>
  </w:style>
  <w:style w:type="table" w:styleId="af6" w:customStyle="1">
    <w:basedOn w:val="TableNormal9"/>
    <w:rsid w:val="00122243"/>
    <w:tblPr>
      <w:tblStyleRowBandSize w:val="1"/>
      <w:tblStyleColBandSize w:val="1"/>
      <w:tblCellMar>
        <w:top w:w="28.0" w:type="dxa"/>
        <w:left w:w="108.0" w:type="dxa"/>
        <w:bottom w:w="28.0" w:type="dxa"/>
        <w:right w:w="108.0" w:type="dxa"/>
      </w:tblCellMar>
    </w:tblPr>
  </w:style>
  <w:style w:type="table" w:styleId="af7" w:customStyle="1">
    <w:basedOn w:val="TableNormal9"/>
    <w:rsid w:val="00122243"/>
    <w:tblPr>
      <w:tblStyleRowBandSize w:val="1"/>
      <w:tblStyleColBandSize w:val="1"/>
      <w:tblCellMar>
        <w:top w:w="28.0" w:type="dxa"/>
        <w:left w:w="108.0" w:type="dxa"/>
        <w:bottom w:w="28.0" w:type="dxa"/>
        <w:right w:w="108.0" w:type="dxa"/>
      </w:tblCellMar>
    </w:tblPr>
  </w:style>
  <w:style w:type="table" w:styleId="af8" w:customStyle="1">
    <w:basedOn w:val="TableNormal9"/>
    <w:rsid w:val="00122243"/>
    <w:tblPr>
      <w:tblStyleRowBandSize w:val="1"/>
      <w:tblStyleColBandSize w:val="1"/>
      <w:tblCellMar>
        <w:top w:w="28.0" w:type="dxa"/>
        <w:left w:w="108.0" w:type="dxa"/>
        <w:bottom w:w="28.0" w:type="dxa"/>
        <w:right w:w="108.0" w:type="dxa"/>
      </w:tblCellMar>
    </w:tblPr>
  </w:style>
  <w:style w:type="table" w:styleId="af9" w:customStyle="1">
    <w:basedOn w:val="TableNormal9"/>
    <w:rsid w:val="00122243"/>
    <w:tblPr>
      <w:tblStyleRowBandSize w:val="1"/>
      <w:tblStyleColBandSize w:val="1"/>
      <w:tblCellMar>
        <w:top w:w="28.0" w:type="dxa"/>
        <w:left w:w="108.0" w:type="dxa"/>
        <w:bottom w:w="28.0" w:type="dxa"/>
        <w:right w:w="108.0" w:type="dxa"/>
      </w:tblCellMar>
    </w:tblPr>
  </w:style>
  <w:style w:type="table" w:styleId="afa" w:customStyle="1">
    <w:basedOn w:val="TableNormal9"/>
    <w:rsid w:val="00122243"/>
    <w:tblPr>
      <w:tblStyleRowBandSize w:val="1"/>
      <w:tblStyleColBandSize w:val="1"/>
      <w:tblCellMar>
        <w:top w:w="28.0" w:type="dxa"/>
        <w:left w:w="108.0" w:type="dxa"/>
        <w:bottom w:w="28.0" w:type="dxa"/>
        <w:right w:w="108.0" w:type="dxa"/>
      </w:tblCellMar>
    </w:tblPr>
  </w:style>
  <w:style w:type="table" w:styleId="afb" w:customStyle="1">
    <w:basedOn w:val="TableNormal9"/>
    <w:rsid w:val="00122243"/>
    <w:tblPr>
      <w:tblStyleRowBandSize w:val="1"/>
      <w:tblStyleColBandSize w:val="1"/>
      <w:tblCellMar>
        <w:top w:w="28.0" w:type="dxa"/>
        <w:left w:w="108.0" w:type="dxa"/>
        <w:bottom w:w="28.0" w:type="dxa"/>
        <w:right w:w="108.0" w:type="dxa"/>
      </w:tblCellMar>
    </w:tblPr>
  </w:style>
  <w:style w:type="table" w:styleId="afc" w:customStyle="1">
    <w:basedOn w:val="TableNormal9"/>
    <w:rsid w:val="00122243"/>
    <w:tblPr>
      <w:tblStyleRowBandSize w:val="1"/>
      <w:tblStyleColBandSize w:val="1"/>
      <w:tblCellMar>
        <w:top w:w="28.0" w:type="dxa"/>
        <w:left w:w="108.0" w:type="dxa"/>
        <w:bottom w:w="28.0" w:type="dxa"/>
        <w:right w:w="108.0" w:type="dxa"/>
      </w:tblCellMar>
    </w:tblPr>
  </w:style>
  <w:style w:type="table" w:styleId="afd" w:customStyle="1">
    <w:basedOn w:val="TableNormal9"/>
    <w:rsid w:val="00122243"/>
    <w:tblPr>
      <w:tblStyleRowBandSize w:val="1"/>
      <w:tblStyleColBandSize w:val="1"/>
      <w:tblCellMar>
        <w:top w:w="28.0" w:type="dxa"/>
        <w:left w:w="108.0" w:type="dxa"/>
        <w:bottom w:w="28.0" w:type="dxa"/>
        <w:right w:w="108.0" w:type="dxa"/>
      </w:tblCellMar>
    </w:tblPr>
  </w:style>
  <w:style w:type="table" w:styleId="afe" w:customStyle="1">
    <w:basedOn w:val="TableNormal9"/>
    <w:rsid w:val="00122243"/>
    <w:tblPr>
      <w:tblStyleRowBandSize w:val="1"/>
      <w:tblStyleColBandSize w:val="1"/>
      <w:tblCellMar>
        <w:top w:w="28.0" w:type="dxa"/>
        <w:left w:w="108.0" w:type="dxa"/>
        <w:bottom w:w="28.0" w:type="dxa"/>
        <w:right w:w="108.0" w:type="dxa"/>
      </w:tblCellMar>
    </w:tblPr>
  </w:style>
  <w:style w:type="table" w:styleId="aff" w:customStyle="1">
    <w:basedOn w:val="TableNormal9"/>
    <w:rsid w:val="00122243"/>
    <w:tblPr>
      <w:tblStyleRowBandSize w:val="1"/>
      <w:tblStyleColBandSize w:val="1"/>
      <w:tblCellMar>
        <w:top w:w="28.0" w:type="dxa"/>
        <w:left w:w="108.0" w:type="dxa"/>
        <w:bottom w:w="28.0" w:type="dxa"/>
        <w:right w:w="108.0" w:type="dxa"/>
      </w:tblCellMar>
    </w:tblPr>
  </w:style>
  <w:style w:type="table" w:styleId="aff0" w:customStyle="1">
    <w:basedOn w:val="TableNormal9"/>
    <w:rsid w:val="00122243"/>
    <w:tblPr>
      <w:tblStyleRowBandSize w:val="1"/>
      <w:tblStyleColBandSize w:val="1"/>
      <w:tblCellMar>
        <w:top w:w="28.0" w:type="dxa"/>
        <w:left w:w="108.0" w:type="dxa"/>
        <w:bottom w:w="28.0" w:type="dxa"/>
        <w:right w:w="108.0" w:type="dxa"/>
      </w:tblCellMar>
    </w:tblPr>
  </w:style>
  <w:style w:type="table" w:styleId="aff1" w:customStyle="1">
    <w:basedOn w:val="TableNormal9"/>
    <w:rsid w:val="00122243"/>
    <w:tblPr>
      <w:tblStyleRowBandSize w:val="1"/>
      <w:tblStyleColBandSize w:val="1"/>
      <w:tblCellMar>
        <w:top w:w="28.0" w:type="dxa"/>
        <w:left w:w="108.0" w:type="dxa"/>
        <w:bottom w:w="28.0" w:type="dxa"/>
        <w:right w:w="108.0" w:type="dxa"/>
      </w:tblCellMar>
    </w:tblPr>
  </w:style>
  <w:style w:type="table" w:styleId="aff2" w:customStyle="1">
    <w:basedOn w:val="TableNormal9"/>
    <w:rsid w:val="00122243"/>
    <w:tblPr>
      <w:tblStyleRowBandSize w:val="1"/>
      <w:tblStyleColBandSize w:val="1"/>
      <w:tblCellMar>
        <w:top w:w="28.0" w:type="dxa"/>
        <w:left w:w="108.0" w:type="dxa"/>
        <w:bottom w:w="28.0" w:type="dxa"/>
        <w:right w:w="108.0" w:type="dxa"/>
      </w:tblCellMar>
    </w:tblPr>
  </w:style>
  <w:style w:type="table" w:styleId="aff3" w:customStyle="1">
    <w:basedOn w:val="TableNormal9"/>
    <w:rsid w:val="00122243"/>
    <w:tblPr>
      <w:tblStyleRowBandSize w:val="1"/>
      <w:tblStyleColBandSize w:val="1"/>
      <w:tblCellMar>
        <w:top w:w="28.0" w:type="dxa"/>
        <w:left w:w="108.0" w:type="dxa"/>
        <w:bottom w:w="28.0" w:type="dxa"/>
        <w:right w:w="108.0" w:type="dxa"/>
      </w:tblCellMar>
    </w:tblPr>
  </w:style>
  <w:style w:type="table" w:styleId="aff4" w:customStyle="1">
    <w:basedOn w:val="TableNormal9"/>
    <w:rsid w:val="00122243"/>
    <w:tblPr>
      <w:tblStyleRowBandSize w:val="1"/>
      <w:tblStyleColBandSize w:val="1"/>
      <w:tblCellMar>
        <w:top w:w="28.0" w:type="dxa"/>
        <w:left w:w="108.0" w:type="dxa"/>
        <w:bottom w:w="28.0" w:type="dxa"/>
        <w:right w:w="108.0" w:type="dxa"/>
      </w:tblCellMar>
    </w:tblPr>
  </w:style>
  <w:style w:type="table" w:styleId="aff5" w:customStyle="1">
    <w:basedOn w:val="TableNormal9"/>
    <w:rsid w:val="00122243"/>
    <w:tblPr>
      <w:tblStyleRowBandSize w:val="1"/>
      <w:tblStyleColBandSize w:val="1"/>
      <w:tblCellMar>
        <w:top w:w="28.0" w:type="dxa"/>
        <w:left w:w="108.0" w:type="dxa"/>
        <w:bottom w:w="28.0" w:type="dxa"/>
        <w:right w:w="108.0" w:type="dxa"/>
      </w:tblCellMar>
    </w:tblPr>
  </w:style>
  <w:style w:type="table" w:styleId="aff6" w:customStyle="1">
    <w:basedOn w:val="TableNormal9"/>
    <w:rsid w:val="00122243"/>
    <w:tblPr>
      <w:tblStyleRowBandSize w:val="1"/>
      <w:tblStyleColBandSize w:val="1"/>
      <w:tblCellMar>
        <w:top w:w="28.0" w:type="dxa"/>
        <w:left w:w="108.0" w:type="dxa"/>
        <w:bottom w:w="28.0" w:type="dxa"/>
        <w:right w:w="108.0" w:type="dxa"/>
      </w:tblCellMar>
    </w:tblPr>
  </w:style>
  <w:style w:type="table" w:styleId="aff7" w:customStyle="1">
    <w:basedOn w:val="TableNormal9"/>
    <w:rsid w:val="00122243"/>
    <w:tblPr>
      <w:tblStyleRowBandSize w:val="1"/>
      <w:tblStyleColBandSize w:val="1"/>
      <w:tblCellMar>
        <w:top w:w="28.0" w:type="dxa"/>
        <w:left w:w="108.0" w:type="dxa"/>
        <w:bottom w:w="28.0" w:type="dxa"/>
        <w:right w:w="108.0" w:type="dxa"/>
      </w:tblCellMar>
    </w:tblPr>
  </w:style>
  <w:style w:type="table" w:styleId="aff8" w:customStyle="1">
    <w:basedOn w:val="TableNormal9"/>
    <w:rsid w:val="00122243"/>
    <w:tblPr>
      <w:tblStyleRowBandSize w:val="1"/>
      <w:tblStyleColBandSize w:val="1"/>
      <w:tblCellMar>
        <w:top w:w="28.0" w:type="dxa"/>
        <w:left w:w="108.0" w:type="dxa"/>
        <w:bottom w:w="28.0" w:type="dxa"/>
        <w:right w:w="108.0" w:type="dxa"/>
      </w:tblCellMar>
    </w:tblPr>
  </w:style>
  <w:style w:type="table" w:styleId="aff9" w:customStyle="1">
    <w:basedOn w:val="TableNormal9"/>
    <w:rsid w:val="00122243"/>
    <w:tblPr>
      <w:tblStyleRowBandSize w:val="1"/>
      <w:tblStyleColBandSize w:val="1"/>
      <w:tblCellMar>
        <w:top w:w="28.0" w:type="dxa"/>
        <w:left w:w="108.0" w:type="dxa"/>
        <w:bottom w:w="28.0" w:type="dxa"/>
        <w:right w:w="108.0" w:type="dxa"/>
      </w:tblCellMar>
    </w:tblPr>
  </w:style>
  <w:style w:type="table" w:styleId="affa" w:customStyle="1">
    <w:basedOn w:val="TableNormal9"/>
    <w:rsid w:val="00122243"/>
    <w:tblPr>
      <w:tblStyleRowBandSize w:val="1"/>
      <w:tblStyleColBandSize w:val="1"/>
      <w:tblCellMar>
        <w:top w:w="28.0" w:type="dxa"/>
        <w:left w:w="108.0" w:type="dxa"/>
        <w:bottom w:w="28.0" w:type="dxa"/>
        <w:right w:w="108.0" w:type="dxa"/>
      </w:tblCellMar>
    </w:tblPr>
  </w:style>
  <w:style w:type="table" w:styleId="affb" w:customStyle="1">
    <w:basedOn w:val="TableNormal9"/>
    <w:rsid w:val="00122243"/>
    <w:tblPr>
      <w:tblStyleRowBandSize w:val="1"/>
      <w:tblStyleColBandSize w:val="1"/>
      <w:tblCellMar>
        <w:top w:w="28.0" w:type="dxa"/>
        <w:left w:w="108.0" w:type="dxa"/>
        <w:bottom w:w="28.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up.aci.it/firenze/IMG/pdf/Dichiarazione_sostitutiva_uso_professionale-3.pdf" TargetMode="External"/><Relationship Id="rId13" Type="http://schemas.openxmlformats.org/officeDocument/2006/relationships/header" Target="header2.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5.xml"/><Relationship Id="rId14"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2OUlh8NWFSbI4IpJLQqf2rCTQ==">CgMxLjAyCGguZ2pkZ3hzMgloLjMwajB6bGw4AHIhMWwzYUZWVjZoN3ZkMEdKY3MxWUI5WmZXTEpuLXdzRXBw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2025-10-10T07:12:00Z</dcterms:created>
  <dc:creator>Fazzi Milena</dc:creator>
</cp:coreProperties>
</file>